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45" w:rsidRPr="00F432A8" w:rsidRDefault="003F1745" w:rsidP="003F1745">
      <w:pPr>
        <w:pStyle w:val="Cmsor1"/>
        <w:rPr>
          <w:rFonts w:ascii="Times New Roman" w:hAnsi="Times New Roman"/>
          <w:sz w:val="22"/>
          <w:szCs w:val="22"/>
        </w:rPr>
      </w:pPr>
      <w:bookmarkStart w:id="0" w:name="_Toc527629163"/>
      <w:bookmarkStart w:id="1" w:name="_Toc11599634"/>
      <w:r>
        <w:rPr>
          <w:rFonts w:ascii="Times New Roman" w:hAnsi="Times New Roman"/>
          <w:sz w:val="22"/>
          <w:szCs w:val="22"/>
          <w:lang w:val="hu-HU"/>
        </w:rPr>
        <w:t>29</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sz w:val="22"/>
          <w:szCs w:val="22"/>
          <w:lang w:val="hu-HU"/>
        </w:rPr>
        <w:t xml:space="preserve">az </w:t>
      </w:r>
      <w:r w:rsidRPr="00F432A8">
        <w:rPr>
          <w:rFonts w:ascii="Times New Roman" w:hAnsi="Times New Roman"/>
          <w:sz w:val="22"/>
          <w:szCs w:val="22"/>
        </w:rPr>
        <w:t>„</w:t>
      </w:r>
      <w:r w:rsidRPr="00F432A8">
        <w:rPr>
          <w:rFonts w:ascii="Times New Roman" w:hAnsi="Times New Roman"/>
          <w:i/>
          <w:sz w:val="22"/>
          <w:szCs w:val="22"/>
          <w:lang w:val="hu-HU"/>
        </w:rPr>
        <w:t>időskorúak gondozóháza</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bookmarkEnd w:id="1"/>
    </w:p>
    <w:p w:rsidR="003F1745" w:rsidRPr="00F432A8" w:rsidRDefault="003F1745" w:rsidP="003F1745">
      <w:pPr>
        <w:rPr>
          <w:rFonts w:ascii="Times New Roman" w:hAnsi="Times New Roman"/>
          <w:b/>
        </w:rPr>
      </w:pPr>
    </w:p>
    <w:p w:rsidR="003F1745" w:rsidRPr="00F432A8" w:rsidRDefault="003F1745" w:rsidP="003F1745">
      <w:pPr>
        <w:rPr>
          <w:rFonts w:ascii="Times New Roman" w:hAnsi="Times New Roman"/>
          <w:b/>
        </w:rPr>
      </w:pPr>
      <w:r w:rsidRPr="00F432A8">
        <w:rPr>
          <w:rFonts w:ascii="Times New Roman" w:hAnsi="Times New Roman"/>
          <w:b/>
        </w:rPr>
        <w:t>I. Az adatkezelő adatai és elérhetőségei</w:t>
      </w:r>
    </w:p>
    <w:p w:rsidR="003F1745" w:rsidRDefault="003F1745" w:rsidP="003F1745">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3F1745" w:rsidRPr="00F432A8" w:rsidRDefault="003F1745" w:rsidP="003F1745">
      <w:pPr>
        <w:ind w:left="3540" w:firstLine="708"/>
        <w:rPr>
          <w:rFonts w:ascii="Times New Roman" w:hAnsi="Times New Roman"/>
        </w:rPr>
      </w:pPr>
      <w:r w:rsidRPr="005A3280">
        <w:rPr>
          <w:rFonts w:ascii="Times New Roman" w:hAnsi="Times New Roman"/>
          <w:b/>
        </w:rPr>
        <w:t>I. számú Gondozási Központ</w:t>
      </w:r>
    </w:p>
    <w:p w:rsidR="003F1745" w:rsidRPr="00F432A8" w:rsidRDefault="003F1745" w:rsidP="003F1745">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3F1745" w:rsidRPr="00F432A8" w:rsidRDefault="003F1745" w:rsidP="003F1745">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3F1745" w:rsidRPr="00F432A8" w:rsidRDefault="003F1745" w:rsidP="003F1745">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3F1745" w:rsidRPr="00F432A8" w:rsidRDefault="003F1745" w:rsidP="003F1745">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3F1745" w:rsidRPr="00F432A8" w:rsidRDefault="003F1745" w:rsidP="003F1745">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3F1745" w:rsidRPr="00F432A8" w:rsidRDefault="003F1745" w:rsidP="003F1745">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3F1745" w:rsidRPr="00F432A8" w:rsidRDefault="003F1745" w:rsidP="003F1745">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p>
    <w:p w:rsidR="003F1745" w:rsidRPr="00F432A8" w:rsidRDefault="003F1745" w:rsidP="003F1745">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3F1745" w:rsidRPr="00B31364" w:rsidRDefault="003F1745" w:rsidP="003F1745">
      <w:pPr>
        <w:rPr>
          <w:rFonts w:ascii="Times New Roman" w:hAnsi="Times New Roman"/>
          <w:sz w:val="20"/>
          <w:szCs w:val="20"/>
        </w:rPr>
      </w:pPr>
      <w:r w:rsidRPr="00B31364">
        <w:rPr>
          <w:rFonts w:ascii="Times New Roman" w:hAnsi="Times New Roman"/>
          <w:sz w:val="20"/>
          <w:szCs w:val="20"/>
        </w:rPr>
        <w:t xml:space="preserve">A gondozóház az 1993. évi III. tv. </w:t>
      </w:r>
      <w:proofErr w:type="gramStart"/>
      <w:r w:rsidRPr="00B31364">
        <w:rPr>
          <w:rFonts w:ascii="Times New Roman" w:hAnsi="Times New Roman"/>
          <w:sz w:val="20"/>
          <w:szCs w:val="20"/>
        </w:rPr>
        <w:t>szerinti</w:t>
      </w:r>
      <w:proofErr w:type="gramEnd"/>
      <w:r w:rsidRPr="00B31364">
        <w:rPr>
          <w:rFonts w:ascii="Times New Roman" w:hAnsi="Times New Roman"/>
          <w:sz w:val="20"/>
          <w:szCs w:val="20"/>
        </w:rPr>
        <w:t xml:space="preserve"> szociális szolgáltatás, azon belül személyes gondoskodással járó szociális szakosított ellátás [56.§ 2) és 57. § (2) a</w:t>
      </w:r>
      <w:proofErr w:type="gramStart"/>
      <w:r w:rsidRPr="00B31364">
        <w:rPr>
          <w:rFonts w:ascii="Times New Roman" w:hAnsi="Times New Roman"/>
          <w:sz w:val="20"/>
          <w:szCs w:val="20"/>
        </w:rPr>
        <w:t>.,</w:t>
      </w:r>
      <w:proofErr w:type="gramEnd"/>
      <w:r w:rsidRPr="00B31364">
        <w:rPr>
          <w:rFonts w:ascii="Times New Roman" w:hAnsi="Times New Roman"/>
          <w:sz w:val="20"/>
          <w:szCs w:val="20"/>
        </w:rPr>
        <w:t xml:space="preserve"> 80.§ (3)a.]. Az ellátás igénybevétele önkéntes 93. § (1) bekezdés alapján és kérelmet kell előterjeszteni. A kérelemről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 (1)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w:t>
      </w:r>
      <w:proofErr w:type="gramStart"/>
      <w:r w:rsidRPr="00B31364">
        <w:rPr>
          <w:rFonts w:ascii="Times New Roman" w:hAnsi="Times New Roman"/>
          <w:sz w:val="20"/>
          <w:szCs w:val="20"/>
        </w:rPr>
        <w:t>pontja</w:t>
      </w:r>
      <w:proofErr w:type="gramEnd"/>
      <w:r w:rsidRPr="00B31364">
        <w:rPr>
          <w:rFonts w:ascii="Times New Roman" w:hAnsi="Times New Roman"/>
          <w:sz w:val="20"/>
          <w:szCs w:val="20"/>
        </w:rPr>
        <w:t xml:space="preserve"> szerint az intézményvezető dönt. A döntés vitatása esetén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 (3) bekezdése szerint a fenntartóhoz lehet fordulni. A szolgáltatás megkezdése előtt a 94/C. § alapján együttműködési megállapodást kell kötni.</w:t>
      </w:r>
    </w:p>
    <w:p w:rsidR="003F1745" w:rsidRPr="00B31364" w:rsidRDefault="003F1745" w:rsidP="003F1745">
      <w:pPr>
        <w:rPr>
          <w:sz w:val="20"/>
          <w:szCs w:val="20"/>
        </w:rPr>
      </w:pPr>
    </w:p>
    <w:p w:rsidR="003F1745" w:rsidRPr="00B31364" w:rsidRDefault="003F1745" w:rsidP="003F1745">
      <w:pP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2279"/>
        <w:gridCol w:w="2086"/>
      </w:tblGrid>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Érintettek köre</w:t>
            </w:r>
          </w:p>
        </w:tc>
        <w:tc>
          <w:tcPr>
            <w:tcW w:w="5953" w:type="dxa"/>
            <w:gridSpan w:val="2"/>
          </w:tcPr>
          <w:p w:rsidR="003F1745" w:rsidRPr="00B31364" w:rsidRDefault="003F1745" w:rsidP="00423682">
            <w:pPr>
              <w:rPr>
                <w:rFonts w:ascii="Times New Roman" w:hAnsi="Times New Roman"/>
                <w:b/>
                <w:sz w:val="20"/>
                <w:szCs w:val="20"/>
              </w:rPr>
            </w:pPr>
            <w:r w:rsidRPr="00B31364">
              <w:rPr>
                <w:rFonts w:ascii="Times New Roman" w:hAnsi="Times New Roman"/>
                <w:sz w:val="20"/>
                <w:szCs w:val="20"/>
              </w:rPr>
              <w:t>Az idősek gondozóházába azok az időskorúak, valamint 18. életévüket betöltött személyek vehetők fel, akik egészségi és/vagy szociális okokból időlegesen segítséggel képesek csak önmagukról gondoskodni és ellátásukat intézményi keretek között lehet/szükséges biztosítani.</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felvétele és a forrása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Az érintett kérelme, 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Érintettekre vonatkozó adatok</w:t>
            </w:r>
          </w:p>
        </w:tc>
        <w:tc>
          <w:tcPr>
            <w:tcW w:w="3260"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Adatkezelés célja</w:t>
            </w:r>
          </w:p>
        </w:tc>
        <w:tc>
          <w:tcPr>
            <w:tcW w:w="269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Adatkezelés jogalapja</w:t>
            </w:r>
          </w:p>
        </w:tc>
      </w:tr>
      <w:tr w:rsidR="003F1745" w:rsidRPr="00B31364" w:rsidTr="00423682">
        <w:trPr>
          <w:trHeight w:val="2770"/>
        </w:trPr>
        <w:tc>
          <w:tcPr>
            <w:tcW w:w="7763" w:type="dxa"/>
          </w:tcPr>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kérelmező természetes személyazonosító adatai (név, születési név, születési hely, idő, anyja neve) és Társadalombiztosítási Azonosító Jele,</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kérelmező telefonszáma, lakó- és tartózkodási helye, értesítési címe,</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kérelmező állampolgársága, bevándorolt, letelepedett vagy menekült, hontalan jogállása, a szabad mozgás és tartózkodás jogára vonatkozó adat,</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kérelmező cselekvőképességére vonatkozó adat,</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kérelem előterjesztésének vagy a beutaló határozat megküldésének időpontja,</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az előgondozás lefolytatásának időpontja, ha annak elvégzése kötelező.</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soron kívüli elhelyezésre vonatkozó döntés, a férőhely elfoglalásának időpontja, közgyógyellátásban részesül-e.</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lastRenderedPageBreak/>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3F1745" w:rsidRPr="00B31364" w:rsidRDefault="003F1745" w:rsidP="003F1745">
            <w:pPr>
              <w:pStyle w:val="Listaszerbekezds"/>
              <w:numPr>
                <w:ilvl w:val="0"/>
                <w:numId w:val="20"/>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lastRenderedPageBreak/>
              <w:t>A szolgáltatások célja a jogszabályoknak és a helyi igényeknek megfelelő szociális ellátórendszer működtetése, ezen belül:</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biztonság megteremtése és megőrzése,</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szociális szolgáltatásokhoz való hozzájutás és</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szolgáltatások szakmai színvonalának fejlesztése.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ellátásokról 1993. évi III. törvény 20.§ (2) </w:t>
            </w:r>
          </w:p>
          <w:p w:rsidR="003F1745" w:rsidRPr="00B31364" w:rsidRDefault="003F1745" w:rsidP="00423682">
            <w:pPr>
              <w:rPr>
                <w:rFonts w:ascii="Times New Roman" w:hAnsi="Times New Roman"/>
                <w:sz w:val="20"/>
                <w:szCs w:val="20"/>
              </w:rPr>
            </w:pPr>
          </w:p>
        </w:tc>
      </w:tr>
      <w:tr w:rsidR="003F1745" w:rsidRPr="00B31364" w:rsidTr="00423682">
        <w:tc>
          <w:tcPr>
            <w:tcW w:w="7763" w:type="dxa"/>
          </w:tcPr>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lastRenderedPageBreak/>
              <w:t>az ellátás kezdetének időpontját,</w:t>
            </w:r>
          </w:p>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intézményi ellátás időtartamát (a határozott vagy határozatlan időtartam megjelölését), szakápolási központ esetén a szakápolás határidejét,</w:t>
            </w:r>
          </w:p>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számára nyújtott szolgáltatások tartalmát,</w:t>
            </w:r>
          </w:p>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természetes személyazonosító adatait </w:t>
            </w:r>
            <w:r w:rsidRPr="00B31364">
              <w:rPr>
                <w:rFonts w:ascii="Times New Roman" w:hAnsi="Times New Roman"/>
                <w:sz w:val="20"/>
                <w:szCs w:val="20"/>
              </w:rPr>
              <w:t>(név, születési név, születési hely, idő, anyja neve)</w:t>
            </w:r>
          </w:p>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egyszeri hozzájárulás megfizetésének kötelezettsége esetén a hozzájárulás összegét, továbbá az annak beszámítására, teljes vagy részleges visszafizetésére vonatkozó szabályokat,</w:t>
            </w:r>
          </w:p>
          <w:p w:rsidR="003F1745" w:rsidRPr="00B31364" w:rsidRDefault="003F1745" w:rsidP="003F1745">
            <w:pPr>
              <w:numPr>
                <w:ilvl w:val="0"/>
                <w:numId w:val="22"/>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belépési hozzájárulás alkalmazása esetén a belépési hozzájárulás összegét, az azt megfizető személy megjelölését, a belépési hozzájárulás megfizetésére és visszafizetésére vonatkozó szabályokat,</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Jogszabályi kötelezettség teljesítése</w:t>
            </w:r>
          </w:p>
        </w:tc>
        <w:tc>
          <w:tcPr>
            <w:tcW w:w="2693" w:type="dxa"/>
          </w:tcPr>
          <w:p w:rsidR="003F1745" w:rsidRPr="00B31364" w:rsidRDefault="003F1745" w:rsidP="00423682">
            <w:pPr>
              <w:ind w:left="96"/>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94/C.§ (3) (Együttműködési megállapodás)</w:t>
            </w:r>
          </w:p>
          <w:p w:rsidR="003F1745" w:rsidRPr="00B31364" w:rsidRDefault="003F1745" w:rsidP="00423682">
            <w:pPr>
              <w:ind w:left="96"/>
              <w:rPr>
                <w:rFonts w:ascii="Times New Roman" w:hAnsi="Times New Roman"/>
                <w:sz w:val="20"/>
                <w:szCs w:val="20"/>
              </w:rPr>
            </w:pPr>
          </w:p>
        </w:tc>
      </w:tr>
      <w:tr w:rsidR="003F1745" w:rsidRPr="00B31364" w:rsidTr="00423682">
        <w:tc>
          <w:tcPr>
            <w:tcW w:w="7763" w:type="dxa"/>
          </w:tcPr>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Egyéni gondozási terv adatai</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ellátott személy fizikai, </w:t>
            </w:r>
            <w:proofErr w:type="gramStart"/>
            <w:r w:rsidRPr="00B31364">
              <w:rPr>
                <w:rFonts w:ascii="Times New Roman" w:eastAsia="Times New Roman" w:hAnsi="Times New Roman"/>
                <w:sz w:val="20"/>
                <w:szCs w:val="20"/>
                <w:lang w:eastAsia="hu-HU"/>
              </w:rPr>
              <w:t>mentális</w:t>
            </w:r>
            <w:proofErr w:type="gramEnd"/>
            <w:r w:rsidRPr="00B31364">
              <w:rPr>
                <w:rFonts w:ascii="Times New Roman" w:eastAsia="Times New Roman" w:hAnsi="Times New Roman"/>
                <w:sz w:val="20"/>
                <w:szCs w:val="20"/>
                <w:lang w:eastAsia="hu-HU"/>
              </w:rPr>
              <w:t xml:space="preserve"> állapotának helyzetét,</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állapotjavulás, illetve megőrzés érdekében szükséges, illetve javasolt feladatokat, azok időbeli ütemezését,</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ellátott részére történő segítségnyújtás egyéb elemeit.</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Állapot-és életvitellel kapcsolatos adatok</w:t>
            </w:r>
          </w:p>
          <w:p w:rsidR="003F1745" w:rsidRPr="00B31364" w:rsidRDefault="003F1745" w:rsidP="003F1745">
            <w:pPr>
              <w:numPr>
                <w:ilvl w:val="0"/>
                <w:numId w:val="21"/>
              </w:numPr>
              <w:jc w:val="left"/>
              <w:rPr>
                <w:rFonts w:ascii="Times New Roman" w:eastAsia="Times New Roman" w:hAnsi="Times New Roman"/>
                <w:sz w:val="20"/>
                <w:szCs w:val="20"/>
                <w:lang w:eastAsia="hu-HU"/>
              </w:rPr>
            </w:pPr>
            <w:proofErr w:type="gramStart"/>
            <w:r w:rsidRPr="00B31364">
              <w:rPr>
                <w:rFonts w:ascii="Times New Roman" w:eastAsia="Times New Roman" w:hAnsi="Times New Roman"/>
                <w:sz w:val="20"/>
                <w:szCs w:val="20"/>
                <w:lang w:eastAsia="hu-HU"/>
              </w:rPr>
              <w:t>Probléma</w:t>
            </w:r>
            <w:proofErr w:type="gramEnd"/>
            <w:r w:rsidRPr="00B31364">
              <w:rPr>
                <w:rFonts w:ascii="Times New Roman" w:eastAsia="Times New Roman" w:hAnsi="Times New Roman"/>
                <w:sz w:val="20"/>
                <w:szCs w:val="20"/>
                <w:lang w:eastAsia="hu-HU"/>
              </w:rPr>
              <w:t>elemzés, problémamegoldás,</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 személyes célok </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 változtatásra motiváló tényezők </w:t>
            </w:r>
          </w:p>
          <w:p w:rsidR="003F1745" w:rsidRPr="00B31364" w:rsidRDefault="003F1745" w:rsidP="003F1745">
            <w:pPr>
              <w:numPr>
                <w:ilvl w:val="0"/>
                <w:numId w:val="21"/>
              </w:numPr>
              <w:jc w:val="left"/>
              <w:rPr>
                <w:rFonts w:ascii="Times New Roman" w:eastAsia="Times New Roman" w:hAnsi="Times New Roman"/>
                <w:sz w:val="20"/>
                <w:szCs w:val="20"/>
                <w:lang w:eastAsia="hu-HU"/>
              </w:rPr>
            </w:pPr>
            <w:proofErr w:type="gramStart"/>
            <w:r w:rsidRPr="00B31364">
              <w:rPr>
                <w:rFonts w:ascii="Times New Roman" w:eastAsia="Times New Roman" w:hAnsi="Times New Roman"/>
                <w:sz w:val="20"/>
                <w:szCs w:val="20"/>
                <w:lang w:eastAsia="hu-HU"/>
              </w:rPr>
              <w:t>Probléma</w:t>
            </w:r>
            <w:proofErr w:type="gramEnd"/>
            <w:r w:rsidRPr="00B31364">
              <w:rPr>
                <w:rFonts w:ascii="Times New Roman" w:eastAsia="Times New Roman" w:hAnsi="Times New Roman"/>
                <w:sz w:val="20"/>
                <w:szCs w:val="20"/>
                <w:lang w:eastAsia="hu-HU"/>
              </w:rPr>
              <w:t xml:space="preserve"> feltárása</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Stressz tényezők feltárása</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Készségek</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Életvitellel kapcsolatos tréningek adatai</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önellátásra való képesség javítása és fenntartásának adatai</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Egészségi állapot </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Pszicho-szociális rehabilitáció adatai</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 szabadidő szervezett eltöltésével kapcsolatos adatok </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 napi tevékenységek</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 szorongással kapcsolatos adatok</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alvás szabályozása</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 táplálkozási rendellenességek és a rossz étkezési szokások adatai</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gramStart"/>
            <w:r w:rsidRPr="00B31364">
              <w:rPr>
                <w:rFonts w:ascii="Times New Roman" w:eastAsia="Times New Roman" w:hAnsi="Times New Roman"/>
                <w:sz w:val="20"/>
                <w:szCs w:val="20"/>
                <w:lang w:eastAsia="hu-HU"/>
              </w:rPr>
              <w:t>agresszió kezeléssel</w:t>
            </w:r>
            <w:proofErr w:type="gramEnd"/>
            <w:r w:rsidRPr="00B31364">
              <w:rPr>
                <w:rFonts w:ascii="Times New Roman" w:eastAsia="Times New Roman" w:hAnsi="Times New Roman"/>
                <w:sz w:val="20"/>
                <w:szCs w:val="20"/>
                <w:lang w:eastAsia="hu-HU"/>
              </w:rPr>
              <w:t xml:space="preserve"> kapcsolatos adatok</w:t>
            </w:r>
          </w:p>
          <w:p w:rsidR="003F1745" w:rsidRPr="00B31364" w:rsidRDefault="003F1745" w:rsidP="003F1745">
            <w:pPr>
              <w:numPr>
                <w:ilvl w:val="0"/>
                <w:numId w:val="21"/>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lastRenderedPageBreak/>
              <w:t>Az öngyilkosság kockázatának kezeléséhez kapcsolódó adatok</w:t>
            </w:r>
          </w:p>
        </w:tc>
        <w:tc>
          <w:tcPr>
            <w:tcW w:w="3260" w:type="dxa"/>
          </w:tcPr>
          <w:p w:rsidR="003F1745" w:rsidRPr="00B31364" w:rsidRDefault="003F1745" w:rsidP="00423682">
            <w:pPr>
              <w:ind w:left="34"/>
              <w:rPr>
                <w:rFonts w:ascii="Times New Roman" w:hAnsi="Times New Roman"/>
                <w:sz w:val="20"/>
                <w:szCs w:val="20"/>
              </w:rPr>
            </w:pPr>
            <w:r w:rsidRPr="00B31364">
              <w:rPr>
                <w:rFonts w:ascii="Times New Roman" w:hAnsi="Times New Roman"/>
                <w:sz w:val="20"/>
                <w:szCs w:val="20"/>
              </w:rPr>
              <w:lastRenderedPageBreak/>
              <w:t>Jogszabályi kötelezettség teljesítése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intézmények szakmai feladatairól és működésük feltételeiről szóló 1/2000. (I. 7.)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7.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(3) és 9.§ </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lastRenderedPageBreak/>
              <w:t>Átadó-és eseménynapló adatai</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Az ellátott magas színvonalú ellátása</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intézmények szakmai feladatairól és működésük feltételeiről </w:t>
            </w:r>
            <w:proofErr w:type="gramStart"/>
            <w:r w:rsidRPr="00B31364">
              <w:rPr>
                <w:rFonts w:ascii="Times New Roman" w:hAnsi="Times New Roman"/>
                <w:sz w:val="20"/>
                <w:szCs w:val="20"/>
              </w:rPr>
              <w:t>szóló  1</w:t>
            </w:r>
            <w:proofErr w:type="gramEnd"/>
            <w:r w:rsidRPr="00B31364">
              <w:rPr>
                <w:rFonts w:ascii="Times New Roman" w:hAnsi="Times New Roman"/>
                <w:sz w:val="20"/>
                <w:szCs w:val="20"/>
              </w:rPr>
              <w:t xml:space="preserve">/2000. (I. 7.)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51.§ (2) </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Egyéni gyógyszer-felhasználási nyilvántartó lap adatai:</w:t>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Ellátott neve</w:t>
            </w:r>
            <w:r w:rsidRPr="00B31364">
              <w:rPr>
                <w:rFonts w:ascii="Times New Roman" w:hAnsi="Times New Roman"/>
                <w:sz w:val="20"/>
                <w:szCs w:val="20"/>
              </w:rPr>
              <w:tab/>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Az orvos által felírt gyógyszer térítésmentessége, térítéskötelessége</w:t>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Napi adagszám</w:t>
            </w:r>
            <w:r w:rsidRPr="00B31364">
              <w:rPr>
                <w:rFonts w:ascii="Times New Roman" w:hAnsi="Times New Roman"/>
                <w:sz w:val="20"/>
                <w:szCs w:val="20"/>
              </w:rPr>
              <w:tab/>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Rendelésének időpontja</w:t>
            </w:r>
            <w:r w:rsidRPr="00B31364">
              <w:rPr>
                <w:rFonts w:ascii="Times New Roman" w:hAnsi="Times New Roman"/>
                <w:sz w:val="20"/>
                <w:szCs w:val="20"/>
              </w:rPr>
              <w:tab/>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Kiadásának időpontja</w:t>
            </w:r>
            <w:r w:rsidRPr="00B31364">
              <w:rPr>
                <w:rFonts w:ascii="Times New Roman" w:hAnsi="Times New Roman"/>
                <w:sz w:val="20"/>
                <w:szCs w:val="20"/>
              </w:rPr>
              <w:tab/>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A térítés ellenében felírt gyógyszer díja</w:t>
            </w:r>
            <w:r w:rsidRPr="00B31364">
              <w:rPr>
                <w:rFonts w:ascii="Times New Roman" w:hAnsi="Times New Roman"/>
                <w:sz w:val="20"/>
                <w:szCs w:val="20"/>
              </w:rPr>
              <w:tab/>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A gyógyszer ellátott részére történő adagolásának időtartama (tól-ig)</w:t>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Megjegyzések</w:t>
            </w:r>
          </w:p>
          <w:p w:rsidR="003F1745" w:rsidRPr="00B31364" w:rsidRDefault="003F1745" w:rsidP="00423682">
            <w:pPr>
              <w:pStyle w:val="Listaszerbekezds"/>
              <w:ind w:left="567"/>
              <w:rPr>
                <w:rFonts w:ascii="Times New Roman" w:hAnsi="Times New Roman"/>
                <w:sz w:val="20"/>
                <w:szCs w:val="20"/>
              </w:rPr>
            </w:pPr>
            <w:proofErr w:type="gramStart"/>
            <w:r w:rsidRPr="00B31364">
              <w:rPr>
                <w:rFonts w:ascii="Times New Roman" w:hAnsi="Times New Roman"/>
                <w:sz w:val="20"/>
                <w:szCs w:val="20"/>
              </w:rPr>
              <w:t>Dátum</w:t>
            </w:r>
            <w:proofErr w:type="gramEnd"/>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Aláírás</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Jogszabályi kötelezettség teljesítése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intézmények szakmai feladatairól és működésük feltételeiről </w:t>
            </w:r>
            <w:proofErr w:type="gramStart"/>
            <w:r w:rsidRPr="00B31364">
              <w:rPr>
                <w:rFonts w:ascii="Times New Roman" w:hAnsi="Times New Roman"/>
                <w:sz w:val="20"/>
                <w:szCs w:val="20"/>
              </w:rPr>
              <w:t>szóló  1</w:t>
            </w:r>
            <w:proofErr w:type="gramEnd"/>
            <w:r w:rsidRPr="00B31364">
              <w:rPr>
                <w:rFonts w:ascii="Times New Roman" w:hAnsi="Times New Roman"/>
                <w:sz w:val="20"/>
                <w:szCs w:val="20"/>
              </w:rPr>
              <w:t xml:space="preserve">/2000. (I. 7.)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51.§ (1) és 9. sz. melléklete</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Nyilvántartási kötelezettség teljesítése, szolgáltatás biztosítása</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20. § (4)</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proofErr w:type="gramStart"/>
            <w:r w:rsidRPr="00B31364">
              <w:rPr>
                <w:rFonts w:ascii="Times New Roman" w:hAnsi="Times New Roman"/>
                <w:sz w:val="20"/>
                <w:szCs w:val="20"/>
              </w:rPr>
              <w:t>Dokumentumok</w:t>
            </w:r>
            <w:proofErr w:type="gramEnd"/>
            <w:r w:rsidRPr="00B31364">
              <w:rPr>
                <w:rFonts w:ascii="Times New Roman" w:hAnsi="Times New Roman"/>
                <w:sz w:val="20"/>
                <w:szCs w:val="20"/>
              </w:rPr>
              <w:t xml:space="preserve"> másolatai</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felvett adatok helyességének igazolása, az </w:t>
            </w:r>
            <w:proofErr w:type="spellStart"/>
            <w:r w:rsidRPr="00B31364">
              <w:rPr>
                <w:rFonts w:ascii="Times New Roman" w:hAnsi="Times New Roman"/>
                <w:sz w:val="20"/>
                <w:szCs w:val="20"/>
              </w:rPr>
              <w:t>igénybevevő</w:t>
            </w:r>
            <w:proofErr w:type="spellEnd"/>
            <w:r w:rsidRPr="00B31364">
              <w:rPr>
                <w:rFonts w:ascii="Times New Roman" w:hAnsi="Times New Roman"/>
                <w:sz w:val="20"/>
                <w:szCs w:val="20"/>
              </w:rPr>
              <w:t xml:space="preserve"> hatékony segítése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Érintett hozzájárulása</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Érintett és adatkezelő jogos érdeke</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Térítési díjhátralék nyilvántartás adatai</w:t>
            </w:r>
          </w:p>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kötelezett neve, lakcíme, a fennálló díjhátralék</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nyilvántartás vezetése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személyes gondoskodást nyújtó szociális ellátások térítési díjáról szóló 29/1993. (II. 17.) Korm. rendelet 31. § (2)</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adatkezelő jogos érdeke</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értéktári jegyzék</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gondozóházba való beköltözéskor az ellátott személyes tárgyait magával hozhatja, melyről jegyzék készül, a szerződés teljesítése</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Felek megállapodása</w:t>
            </w:r>
          </w:p>
        </w:tc>
      </w:tr>
      <w:tr w:rsidR="003F1745" w:rsidRPr="00B31364" w:rsidTr="00423682">
        <w:tc>
          <w:tcPr>
            <w:tcW w:w="7763" w:type="dxa"/>
          </w:tcPr>
          <w:p w:rsidR="003F1745" w:rsidRPr="00B31364" w:rsidRDefault="003F1745" w:rsidP="00423682">
            <w:pPr>
              <w:pStyle w:val="Listaszerbekezds"/>
              <w:ind w:left="567"/>
              <w:rPr>
                <w:rFonts w:ascii="Times New Roman" w:hAnsi="Times New Roman"/>
                <w:sz w:val="20"/>
                <w:szCs w:val="20"/>
              </w:rPr>
            </w:pPr>
            <w:r w:rsidRPr="00B31364">
              <w:rPr>
                <w:rFonts w:ascii="Times New Roman" w:hAnsi="Times New Roman"/>
                <w:sz w:val="20"/>
                <w:szCs w:val="20"/>
              </w:rPr>
              <w:t>mindazon adat, melyet az ellátott rendelkezésre bocsát</w:t>
            </w:r>
          </w:p>
        </w:tc>
        <w:tc>
          <w:tcPr>
            <w:tcW w:w="3260"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lakóknak segítség nyújtása a hivatalos ügyeik intézésében</w:t>
            </w:r>
          </w:p>
        </w:tc>
        <w:tc>
          <w:tcPr>
            <w:tcW w:w="2693" w:type="dxa"/>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Felek megállapodása</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Az adatkezelés időtartama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Törölni kell az adatokat, ha az ellátásra vonatkozó igény a teljesítését megelőzően megszűnik.</w:t>
            </w:r>
          </w:p>
          <w:p w:rsidR="003F1745" w:rsidRPr="00B31364" w:rsidRDefault="003F1745" w:rsidP="00423682">
            <w:pPr>
              <w:rPr>
                <w:rFonts w:ascii="Times New Roman" w:hAnsi="Times New Roman"/>
                <w:b/>
                <w:sz w:val="20"/>
                <w:szCs w:val="20"/>
              </w:rPr>
            </w:pPr>
            <w:r w:rsidRPr="00B31364">
              <w:rPr>
                <w:rFonts w:ascii="Times New Roman" w:hAnsi="Times New Roman"/>
                <w:sz w:val="20"/>
                <w:szCs w:val="20"/>
              </w:rPr>
              <w:t xml:space="preserve">A szociális ellátásra való jogosultság megszűnésétől számított öt év elteltével </w:t>
            </w:r>
            <w:proofErr w:type="spellStart"/>
            <w:r w:rsidRPr="00B31364">
              <w:rPr>
                <w:rFonts w:ascii="Times New Roman" w:hAnsi="Times New Roman"/>
                <w:sz w:val="20"/>
                <w:szCs w:val="20"/>
              </w:rPr>
              <w:t>törlendőek</w:t>
            </w:r>
            <w:proofErr w:type="spellEnd"/>
            <w:r w:rsidRPr="00B31364">
              <w:rPr>
                <w:rFonts w:ascii="Times New Roman" w:hAnsi="Times New Roman"/>
                <w:sz w:val="20"/>
                <w:szCs w:val="20"/>
              </w:rPr>
              <w:t xml:space="preserve"> az adatok 1993. évi III. tv. 23.§ (1)</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lastRenderedPageBreak/>
              <w:t>Adatokat megismerheti</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A szociális igazgatásról és szociális ellátásokról szóló 1993. évi III. törvény 21.§-a szerint a fenti adat csak az adatigénylésre jogosult szervnek és a jogosultságot megállapító szociális hatáskört gyakorló szervnek szolgáltatható</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 érintett (Szt. 22.§)</w:t>
            </w:r>
          </w:p>
          <w:p w:rsidR="003F1745" w:rsidRPr="00B31364" w:rsidRDefault="003F1745" w:rsidP="00423682">
            <w:pPr>
              <w:rPr>
                <w:rFonts w:ascii="Times New Roman" w:hAnsi="Times New Roman"/>
                <w:b/>
                <w:sz w:val="20"/>
                <w:szCs w:val="20"/>
              </w:rPr>
            </w:pPr>
            <w:r w:rsidRPr="00B31364">
              <w:rPr>
                <w:rFonts w:ascii="Times New Roman" w:hAnsi="Times New Roman"/>
                <w:sz w:val="20"/>
                <w:szCs w:val="20"/>
              </w:rPr>
              <w:t>- Intézményvezető, szakmai vezető, családsegítő</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Az adatkezelés technikai jellege</w:t>
            </w:r>
          </w:p>
        </w:tc>
        <w:tc>
          <w:tcPr>
            <w:tcW w:w="5953" w:type="dxa"/>
            <w:gridSpan w:val="2"/>
          </w:tcPr>
          <w:p w:rsidR="003F1745" w:rsidRPr="00B31364" w:rsidRDefault="003F1745" w:rsidP="00423682">
            <w:pPr>
              <w:rPr>
                <w:rFonts w:ascii="Times New Roman" w:hAnsi="Times New Roman"/>
                <w:b/>
                <w:sz w:val="20"/>
                <w:szCs w:val="20"/>
              </w:rPr>
            </w:pPr>
            <w:r w:rsidRPr="00B31364">
              <w:rPr>
                <w:rFonts w:ascii="Times New Roman" w:hAnsi="Times New Roman"/>
                <w:sz w:val="20"/>
                <w:szCs w:val="20"/>
              </w:rPr>
              <w:t>papír alapon és elektronikusan</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Az adatok őrzése, tárolása</w:t>
            </w:r>
          </w:p>
        </w:tc>
        <w:tc>
          <w:tcPr>
            <w:tcW w:w="5953" w:type="dxa"/>
            <w:gridSpan w:val="2"/>
          </w:tcPr>
          <w:p w:rsidR="003F1745" w:rsidRPr="00B31364" w:rsidRDefault="003F1745" w:rsidP="00423682">
            <w:pPr>
              <w:rPr>
                <w:rFonts w:ascii="Times New Roman" w:hAnsi="Times New Roman"/>
                <w:b/>
                <w:sz w:val="20"/>
                <w:szCs w:val="20"/>
              </w:rPr>
            </w:pP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Az adatokhoz fizikailag hozzáférhet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(megtekintheti)</w:t>
            </w:r>
          </w:p>
        </w:tc>
        <w:tc>
          <w:tcPr>
            <w:tcW w:w="5953" w:type="dxa"/>
            <w:gridSpan w:val="2"/>
          </w:tcPr>
          <w:p w:rsidR="003F1745" w:rsidRPr="00B31364" w:rsidRDefault="003F1745" w:rsidP="00423682">
            <w:pPr>
              <w:rPr>
                <w:rFonts w:ascii="Times New Roman" w:hAnsi="Times New Roman"/>
                <w:b/>
                <w:sz w:val="20"/>
                <w:szCs w:val="20"/>
              </w:rPr>
            </w:pPr>
            <w:r w:rsidRPr="00B31364">
              <w:rPr>
                <w:rFonts w:ascii="Times New Roman" w:hAnsi="Times New Roman"/>
                <w:sz w:val="20"/>
                <w:szCs w:val="20"/>
              </w:rPr>
              <w:t>Intézményvezető, szakmai vezető, családsegítő</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1</w:t>
            </w:r>
          </w:p>
        </w:tc>
        <w:tc>
          <w:tcPr>
            <w:tcW w:w="5953" w:type="dxa"/>
            <w:gridSpan w:val="2"/>
          </w:tcPr>
          <w:p w:rsidR="003F1745" w:rsidRPr="00B31364" w:rsidRDefault="003F1745" w:rsidP="00423682">
            <w:pPr>
              <w:rPr>
                <w:rFonts w:ascii="Times New Roman" w:hAnsi="Times New Roman"/>
                <w:sz w:val="20"/>
                <w:szCs w:val="20"/>
              </w:rPr>
            </w:pP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ellátás és gyógykezelés szempontjából szükséges egészségügyi adatok</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Bentlakásos intézmény, ahova az érintett kerül</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Amennyiben az ellátást igénybe vevőt másik bentlakásos intézménybe helyezik át, az egészségügyi adat kezelésével megbízott személy az ellátást igénybe vevő egészségügyi adatait külön kérés nélkül továbbítja. Az adat továbbítás célja az érintett zavartalan ellátása.</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intézmények szakmai feladatairól és működésük feltételeiről szóló 1/2000. (I. 7.)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53.§ (3)</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2</w:t>
            </w:r>
          </w:p>
        </w:tc>
        <w:tc>
          <w:tcPr>
            <w:tcW w:w="5953" w:type="dxa"/>
            <w:gridSpan w:val="2"/>
          </w:tcPr>
          <w:p w:rsidR="003F1745" w:rsidRPr="00B31364" w:rsidRDefault="003F1745" w:rsidP="00423682">
            <w:pPr>
              <w:rPr>
                <w:rFonts w:ascii="Times New Roman" w:hAnsi="Times New Roman"/>
                <w:sz w:val="20"/>
                <w:szCs w:val="20"/>
              </w:rPr>
            </w:pP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Térítési díjhátralék nyilvántartás adatai</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kötelezett neve, lakcíme, a fennálló díjhátralék</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Intézményi fenntartó</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Hátralékok kezelése</w:t>
            </w:r>
          </w:p>
        </w:tc>
      </w:tr>
      <w:tr w:rsidR="003F1745" w:rsidRPr="00B31364" w:rsidTr="00423682">
        <w:tc>
          <w:tcPr>
            <w:tcW w:w="7763" w:type="dxa"/>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személyes gondoskodást nyújtó szociális ellátások térítési díjáról szóló 29/1993. (II. 17.) Korm. rendelet 31. § (3)</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3</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a kérelmező természetes személyazonosító adatai és Társadalombiztosítási Azonosító Jele,</w:t>
            </w:r>
          </w:p>
          <w:p w:rsidR="003F1745" w:rsidRPr="00B31364" w:rsidRDefault="003F1745" w:rsidP="00423682">
            <w:pPr>
              <w:rPr>
                <w:rFonts w:ascii="Times New Roman" w:hAnsi="Times New Roman"/>
                <w:sz w:val="20"/>
                <w:szCs w:val="20"/>
              </w:rPr>
            </w:pPr>
            <w:proofErr w:type="gramStart"/>
            <w:r w:rsidRPr="00B31364">
              <w:rPr>
                <w:rFonts w:ascii="Times New Roman" w:hAnsi="Times New Roman"/>
                <w:sz w:val="20"/>
                <w:szCs w:val="20"/>
              </w:rPr>
              <w:t>-  a</w:t>
            </w:r>
            <w:proofErr w:type="gramEnd"/>
            <w:r w:rsidRPr="00B31364">
              <w:rPr>
                <w:rFonts w:ascii="Times New Roman" w:hAnsi="Times New Roman"/>
                <w:sz w:val="20"/>
                <w:szCs w:val="20"/>
              </w:rPr>
              <w:t xml:space="preserve"> kérelmező lakó- és tartózkodási helye</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 a kérelmező állampolgársága, bevándorolt, letelepedett vagy menekült, hontalan jogállása, a szabad mozgás és tartózkodás jogára vonatkozó adat,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 személyes gondoskodást nyújtó alapszolgáltatás vagy szakosított ellátás típusát, igénybevételének és megszűnésének időpontját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 a megállapított gondozási szükségletre és az ellátott számára nyújtott szolgáltatás tartalmára vonatkozó adatokat.</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w:t>
            </w:r>
            <w:proofErr w:type="gramStart"/>
            <w:r w:rsidRPr="00B31364">
              <w:rPr>
                <w:rFonts w:ascii="Times New Roman" w:hAnsi="Times New Roman"/>
                <w:sz w:val="20"/>
                <w:szCs w:val="20"/>
              </w:rPr>
              <w:t>ellátásokról  szóló</w:t>
            </w:r>
            <w:proofErr w:type="gramEnd"/>
            <w:r w:rsidRPr="00B31364">
              <w:rPr>
                <w:rFonts w:ascii="Times New Roman" w:hAnsi="Times New Roman"/>
                <w:sz w:val="20"/>
                <w:szCs w:val="20"/>
              </w:rPr>
              <w:t xml:space="preserve"> 1993. évi III. törvény 20/C.§ szerinti nyilvántartás vezetése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szociális, gyermekjóléti és gyermekvédelmi </w:t>
            </w:r>
            <w:proofErr w:type="spellStart"/>
            <w:r w:rsidRPr="00B31364">
              <w:rPr>
                <w:rFonts w:ascii="Times New Roman" w:hAnsi="Times New Roman"/>
                <w:sz w:val="20"/>
                <w:szCs w:val="20"/>
              </w:rPr>
              <w:t>igénybevevői</w:t>
            </w:r>
            <w:proofErr w:type="spellEnd"/>
            <w:r w:rsidRPr="00B31364">
              <w:rPr>
                <w:rFonts w:ascii="Times New Roman" w:hAnsi="Times New Roman"/>
                <w:sz w:val="20"/>
                <w:szCs w:val="20"/>
              </w:rPr>
              <w:t xml:space="preserve"> nyilvántartásról és az országos jelentési rendszerről szóló 415/2015. (XII. 23.) Korm. rendelet</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4</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TAJ szám</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fenntartó </w:t>
            </w:r>
            <w:r>
              <w:rPr>
                <w:rFonts w:ascii="Times New Roman" w:hAnsi="Times New Roman"/>
                <w:sz w:val="20"/>
                <w:szCs w:val="20"/>
              </w:rPr>
              <w:t>Budapest Főváros II. Kerületi Önkormányzat</w:t>
            </w:r>
            <w:r w:rsidRPr="00B31364">
              <w:rPr>
                <w:rFonts w:ascii="Times New Roman" w:hAnsi="Times New Roman"/>
                <w:sz w:val="20"/>
                <w:szCs w:val="20"/>
              </w:rPr>
              <w:t xml:space="preserve"> és Magyar Államkincstár</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kincstár a kapott adatokat összeveti a 20/C. § szerinti nyilvántartás adataival, és azokból - az esetleges átfedések kiszűrésével - engedélyesenként, területileg és országosan kiszámolja az egyes szolgáltatásokra várakozó személyek számát, majd a Társadalombiztosítási Azonosító Jeleket haladéktalanul </w:t>
            </w:r>
            <w:proofErr w:type="spellStart"/>
            <w:r w:rsidRPr="00B31364">
              <w:rPr>
                <w:rFonts w:ascii="Times New Roman" w:hAnsi="Times New Roman"/>
                <w:sz w:val="20"/>
                <w:szCs w:val="20"/>
              </w:rPr>
              <w:t>törli</w:t>
            </w:r>
            <w:proofErr w:type="spellEnd"/>
            <w:r w:rsidRPr="00B31364">
              <w:rPr>
                <w:rFonts w:ascii="Times New Roman" w:hAnsi="Times New Roman"/>
                <w:sz w:val="20"/>
                <w:szCs w:val="20"/>
              </w:rPr>
              <w:t>.</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20. § (2a)</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5</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térítési díj felülvizsgálata iránti kérelem adatai</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w:t>
            </w:r>
            <w:r>
              <w:rPr>
                <w:rFonts w:ascii="Times New Roman" w:hAnsi="Times New Roman"/>
                <w:sz w:val="20"/>
                <w:szCs w:val="20"/>
              </w:rPr>
              <w:t>Budapest Főváros II. Kerületi Önkormányzat</w:t>
            </w:r>
            <w:r w:rsidRPr="00B31364">
              <w:rPr>
                <w:rFonts w:ascii="Times New Roman" w:hAnsi="Times New Roman"/>
                <w:sz w:val="20"/>
                <w:szCs w:val="20"/>
              </w:rPr>
              <w:t xml:space="preserve"> Egészségügyi, Szociális és Sport Bizottsága</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jogorvoslati jog gyakorlásának elősegítése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 xml:space="preserve">a </w:t>
            </w:r>
            <w:r>
              <w:rPr>
                <w:rFonts w:ascii="Times New Roman" w:hAnsi="Times New Roman"/>
                <w:sz w:val="20"/>
                <w:szCs w:val="20"/>
              </w:rPr>
              <w:t>Budapest Főváros II. Kerületi Önkormányzat</w:t>
            </w:r>
            <w:r w:rsidRPr="00B31364">
              <w:rPr>
                <w:rFonts w:ascii="Times New Roman" w:hAnsi="Times New Roman"/>
                <w:sz w:val="20"/>
                <w:szCs w:val="20"/>
              </w:rPr>
              <w:t xml:space="preserve"> Képviselő-testületének a személyes gondoskodást nyújtó szociális és gyermekjóléti ellátásokról szóló 24/2011. (IX.26) számú rendelete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6</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gondozási szükséglet vizsgálatának adattartalma</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működést engedélyező szerv</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jogszabályi kötelezettség teljesítése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63. § (5)</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7</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w:t>
            </w:r>
            <w:hyperlink r:id="rId6" w:anchor="lbj11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jogosult és az adott ellátás megállapítása során e törvény rendelkezései, illetve a települési önkormányzat rendelete alapján figyelembe vett más személyek</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 a szociális ellátás</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da) megnevezését,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db) jogcímét,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dc) összegét,</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e)</w:t>
            </w:r>
            <w:hyperlink r:id="rId7" w:anchor="lbj11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f) a szociális ellátás megállapítása során figyelembe vett, egy főre vagy egy fogyasztási egységre jutó jövedelem összegét;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h)-i)</w:t>
            </w:r>
            <w:hyperlink r:id="rId8" w:anchor="lbj116id821d" w:history="1">
              <w:r w:rsidRPr="00B31364">
                <w:rPr>
                  <w:rStyle w:val="Hiperhivatkozs"/>
                  <w:rFonts w:ascii="Times New Roman" w:hAnsi="Times New Roman"/>
                  <w:sz w:val="20"/>
                  <w:szCs w:val="20"/>
                </w:rPr>
                <w:t> * </w:t>
              </w:r>
            </w:hyperlink>
          </w:p>
          <w:p w:rsidR="003F1745" w:rsidRPr="00B31364" w:rsidRDefault="003F1745" w:rsidP="00423682">
            <w:pPr>
              <w:rPr>
                <w:rFonts w:ascii="Times New Roman" w:hAnsi="Times New Roman"/>
                <w:sz w:val="20"/>
                <w:szCs w:val="20"/>
              </w:rPr>
            </w:pPr>
            <w:r w:rsidRPr="00B31364">
              <w:rPr>
                <w:rFonts w:ascii="Times New Roman" w:hAnsi="Times New Roman"/>
                <w:sz w:val="20"/>
                <w:szCs w:val="20"/>
              </w:rPr>
              <w:lastRenderedPageBreak/>
              <w:t>j)</w:t>
            </w:r>
            <w:hyperlink r:id="rId9" w:anchor="lbj117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k)</w:t>
            </w:r>
            <w:hyperlink r:id="rId10" w:anchor="lbj118id821d" w:history="1">
              <w:r w:rsidRPr="00B31364">
                <w:rPr>
                  <w:rStyle w:val="Hiperhivatkozs"/>
                  <w:rFonts w:ascii="Times New Roman" w:hAnsi="Times New Roman"/>
                  <w:sz w:val="20"/>
                  <w:szCs w:val="20"/>
                </w:rPr>
                <w:t> * </w:t>
              </w:r>
            </w:hyperlink>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l)</w:t>
            </w:r>
            <w:hyperlink r:id="rId11" w:anchor="lbj119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lakhatáshoz kapcsolódó rendszeres kiadások viseléséhez nyújtott települési támogatás természetbeni szociális ellátás formájában történő nyújtása esetén</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la) a támogatott szolgáltatást szolgáltatási vagy közszolgáltatási szerződés alapján szerződőként igénybe vevő fogyasztónak és a fogyasztási helynek a szolgáltató általi azonosításához szükséges adatot,</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lb</w:t>
            </w:r>
            <w:proofErr w:type="spellEnd"/>
            <w:r w:rsidRPr="00B31364">
              <w:rPr>
                <w:rFonts w:ascii="Times New Roman" w:hAnsi="Times New Roman"/>
                <w:sz w:val="20"/>
                <w:szCs w:val="20"/>
              </w:rPr>
              <w:t>) a lakáscélú kölcsönszerződés adósának és adóstársának a kölcsönt nyújtó pénzintézet általi azonosításához szükséges adatot.</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önkormányzat jegyzője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települési önkormányzat képviselő-testületének feladat- és hatáskörébe tartozó szociális ellátásokra való jogosultság megállapítása, az ellátások biztosítása, fenntartása és megszüntetése céljából nyilvántartást vezetése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 §</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Adatok továbbítása 8</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a jogosult és az adott ellátás megállapítása során e törvény rendelkezései alapján figyelembe vett más személy</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 a szociális ellátás</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da) megnevezését,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db) jogcímét,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dc) összegét,</w:t>
            </w:r>
          </w:p>
          <w:p w:rsidR="003F1745" w:rsidRPr="00B31364" w:rsidRDefault="003F1745"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e)</w:t>
            </w:r>
            <w:hyperlink r:id="rId12" w:anchor="lbj121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f)</w:t>
            </w:r>
            <w:hyperlink r:id="rId13" w:anchor="lbj122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 megállapításánál figyelembe vett, egy főre vagy egy fogyasztási egységre jutó jövedelem összegét;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h)</w:t>
            </w:r>
            <w:hyperlink r:id="rId14" w:anchor="lbj123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gyermekek otthongondozási díjára, az ápolási díjra jogosult személy adóazonosító jelét;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i) azt a tényt, hogy a jogosult részére az ellátás folyósítása a hajléktalan személyekre vonatkozó szabályok szerint történik;</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lastRenderedPageBreak/>
              <w:t>j)</w:t>
            </w:r>
            <w:hyperlink r:id="rId15" w:anchor="lbj12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3F1745" w:rsidRPr="00B31364" w:rsidRDefault="003F1745" w:rsidP="00423682">
            <w:pPr>
              <w:rPr>
                <w:rFonts w:ascii="Times New Roman" w:hAnsi="Times New Roman"/>
                <w:sz w:val="20"/>
                <w:szCs w:val="20"/>
              </w:rPr>
            </w:pPr>
            <w:r w:rsidRPr="00B31364">
              <w:rPr>
                <w:rFonts w:ascii="Times New Roman" w:hAnsi="Times New Roman"/>
                <w:sz w:val="20"/>
                <w:szCs w:val="20"/>
              </w:rPr>
              <w:t>k)</w:t>
            </w:r>
            <w:hyperlink r:id="rId16" w:anchor="lbj12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w:t>
            </w:r>
            <w:proofErr w:type="gramStart"/>
            <w:r w:rsidRPr="00B31364">
              <w:rPr>
                <w:rFonts w:ascii="Times New Roman" w:hAnsi="Times New Roman"/>
                <w:sz w:val="20"/>
                <w:szCs w:val="20"/>
              </w:rPr>
              <w:t>aktív</w:t>
            </w:r>
            <w:proofErr w:type="gramEnd"/>
            <w:r w:rsidRPr="00B31364">
              <w:rPr>
                <w:rFonts w:ascii="Times New Roman" w:hAnsi="Times New Roman"/>
                <w:sz w:val="20"/>
                <w:szCs w:val="20"/>
              </w:rPr>
              <w:t xml:space="preserve"> korúak ellátására jogosult személynek a foglalkoztatásra irányuló jogviszony létesítéséhez szükséges jognyilatkozatok hiányában vagy a jognyilatkozatok alakszerűségére vonatkozó rendelkezések megsértésével végzett keresőtevékenységére (a továbbiakban: jogellenes munkavégzés) vonatkozó törvényben foglalt adatokat.</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járási hivatal</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célja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járási hivatal a feladat- és hatáskörébe tartozó szociális ellátásokra való jogosultság megállapítása, az ellátás biztosítása, fenntartása és megszüntetése céljából nyilvántartás vezetése</w:t>
            </w:r>
          </w:p>
        </w:tc>
      </w:tr>
      <w:tr w:rsidR="003F1745" w:rsidRPr="00B31364" w:rsidTr="00423682">
        <w:tc>
          <w:tcPr>
            <w:tcW w:w="7763" w:type="dxa"/>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5953" w:type="dxa"/>
            <w:gridSpan w:val="2"/>
            <w:tcBorders>
              <w:top w:val="single" w:sz="4" w:space="0" w:color="000000"/>
              <w:left w:val="single" w:sz="4" w:space="0" w:color="000000"/>
              <w:bottom w:val="single" w:sz="4" w:space="0" w:color="000000"/>
              <w:right w:val="single" w:sz="4" w:space="0" w:color="000000"/>
            </w:tcBorders>
          </w:tcPr>
          <w:p w:rsidR="003F1745" w:rsidRPr="00B31364" w:rsidRDefault="003F1745"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w:t>
            </w:r>
            <w:proofErr w:type="gramStart"/>
            <w:r w:rsidRPr="00B31364">
              <w:rPr>
                <w:rFonts w:ascii="Times New Roman" w:hAnsi="Times New Roman"/>
                <w:sz w:val="20"/>
                <w:szCs w:val="20"/>
              </w:rPr>
              <w:t>A</w:t>
            </w:r>
            <w:proofErr w:type="gramEnd"/>
            <w:r w:rsidRPr="00B31364">
              <w:rPr>
                <w:rFonts w:ascii="Times New Roman" w:hAnsi="Times New Roman"/>
                <w:sz w:val="20"/>
                <w:szCs w:val="20"/>
              </w:rPr>
              <w:t>. §</w:t>
            </w:r>
          </w:p>
        </w:tc>
      </w:tr>
    </w:tbl>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i/>
        </w:rPr>
      </w:pPr>
      <w:r w:rsidRPr="00F432A8">
        <w:rPr>
          <w:rFonts w:ascii="Times New Roman" w:hAnsi="Times New Roman"/>
          <w:b/>
        </w:rPr>
        <w:t>III. Adatbiztonság</w:t>
      </w:r>
    </w:p>
    <w:p w:rsidR="003F1745" w:rsidRPr="00F432A8" w:rsidRDefault="003F1745" w:rsidP="003F1745">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i/>
        </w:rPr>
      </w:pPr>
      <w:r w:rsidRPr="00F432A8">
        <w:rPr>
          <w:rFonts w:ascii="Times New Roman" w:hAnsi="Times New Roman"/>
          <w:b/>
        </w:rPr>
        <w:t>IV. Személyes adatainak kezelésével kapcsolatos jogai</w:t>
      </w:r>
    </w:p>
    <w:p w:rsidR="003F1745" w:rsidRPr="00F432A8" w:rsidRDefault="003F1745" w:rsidP="003F1745">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3F1745" w:rsidRPr="00F432A8" w:rsidRDefault="003F1745" w:rsidP="003F1745">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3F1745" w:rsidRPr="00F432A8" w:rsidRDefault="003F1745" w:rsidP="003F174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3F1745" w:rsidRPr="00F432A8" w:rsidRDefault="003F1745" w:rsidP="003F174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3F1745" w:rsidRPr="00F432A8" w:rsidRDefault="003F1745" w:rsidP="003F174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3F1745" w:rsidRPr="00F432A8" w:rsidRDefault="003F1745" w:rsidP="003F1745">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3F1745" w:rsidRPr="00F432A8" w:rsidRDefault="003F1745" w:rsidP="003F1745">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3F1745" w:rsidRPr="00F432A8" w:rsidRDefault="003F1745" w:rsidP="003F1745">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rPr>
      </w:pPr>
      <w:r w:rsidRPr="00F432A8">
        <w:rPr>
          <w:rFonts w:ascii="Times New Roman" w:hAnsi="Times New Roman"/>
        </w:rPr>
        <w:t>A tájékoztatás kérése ugyanazon adatkörre vonatkozóan első alkalommal ingyenes.</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r w:rsidRPr="00F432A8">
        <w:rPr>
          <w:rFonts w:ascii="Times New Roman" w:hAnsi="Times New Roman"/>
          <w:b/>
        </w:rPr>
        <w:t>A törléshez való jog</w:t>
      </w:r>
    </w:p>
    <w:p w:rsidR="003F1745" w:rsidRPr="00F432A8" w:rsidRDefault="003F1745" w:rsidP="003F1745">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3F1745" w:rsidRPr="00F432A8" w:rsidRDefault="003F1745" w:rsidP="003F1745">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r w:rsidRPr="00F432A8">
        <w:rPr>
          <w:rFonts w:ascii="Times New Roman" w:hAnsi="Times New Roman"/>
          <w:b/>
        </w:rPr>
        <w:t>A zároláshoz (adatkezelés korlátozásához) való jog</w:t>
      </w:r>
    </w:p>
    <w:p w:rsidR="003F1745" w:rsidRPr="00F432A8" w:rsidRDefault="003F1745" w:rsidP="003F1745">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w:t>
      </w:r>
      <w:r w:rsidRPr="00F432A8">
        <w:rPr>
          <w:rFonts w:ascii="Times New Roman" w:hAnsi="Times New Roman"/>
        </w:rPr>
        <w:lastRenderedPageBreak/>
        <w:t xml:space="preserve">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r w:rsidRPr="00F432A8">
        <w:rPr>
          <w:rFonts w:ascii="Times New Roman" w:hAnsi="Times New Roman"/>
          <w:b/>
        </w:rPr>
        <w:t>A tiltakozáshoz való jog</w:t>
      </w:r>
    </w:p>
    <w:p w:rsidR="003F1745" w:rsidRPr="00F432A8" w:rsidRDefault="003F1745" w:rsidP="003F1745">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3F1745" w:rsidRPr="00F432A8" w:rsidRDefault="003F1745" w:rsidP="003F1745">
      <w:pPr>
        <w:rPr>
          <w:rFonts w:ascii="Times New Roman" w:hAnsi="Times New Roman"/>
          <w:b/>
        </w:rPr>
      </w:pPr>
    </w:p>
    <w:p w:rsidR="003F1745" w:rsidRPr="00F432A8" w:rsidRDefault="003F1745" w:rsidP="003F1745">
      <w:pPr>
        <w:rPr>
          <w:rFonts w:ascii="Times New Roman" w:hAnsi="Times New Roman"/>
          <w:b/>
        </w:rPr>
      </w:pPr>
      <w:r w:rsidRPr="00F432A8">
        <w:rPr>
          <w:rFonts w:ascii="Times New Roman" w:hAnsi="Times New Roman"/>
          <w:b/>
        </w:rPr>
        <w:t>Az adathordozhatósághoz való jog</w:t>
      </w:r>
    </w:p>
    <w:p w:rsidR="003F1745" w:rsidRPr="00F432A8" w:rsidRDefault="003F1745" w:rsidP="003F1745">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r w:rsidRPr="00F432A8">
        <w:rPr>
          <w:rFonts w:ascii="Times New Roman" w:hAnsi="Times New Roman"/>
          <w:b/>
        </w:rPr>
        <w:t>Hozzájárulás visszavonásának joga</w:t>
      </w:r>
    </w:p>
    <w:p w:rsidR="003F1745" w:rsidRPr="00F432A8" w:rsidRDefault="003F1745" w:rsidP="003F1745">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3F1745" w:rsidRPr="00F432A8" w:rsidRDefault="003F1745" w:rsidP="003F1745">
      <w:pPr>
        <w:rPr>
          <w:rFonts w:ascii="Times New Roman" w:hAnsi="Times New Roman"/>
          <w:b/>
        </w:rPr>
      </w:pPr>
    </w:p>
    <w:p w:rsidR="003F1745" w:rsidRPr="00F432A8" w:rsidRDefault="003F1745" w:rsidP="003F1745">
      <w:pPr>
        <w:rPr>
          <w:rFonts w:ascii="Times New Roman" w:hAnsi="Times New Roman"/>
          <w:b/>
          <w:i/>
        </w:rPr>
      </w:pPr>
      <w:r w:rsidRPr="00F432A8">
        <w:rPr>
          <w:rFonts w:ascii="Times New Roman" w:hAnsi="Times New Roman"/>
          <w:b/>
        </w:rPr>
        <w:t>V. Jogorvoslati tájékoztatás</w:t>
      </w:r>
    </w:p>
    <w:p w:rsidR="003F1745" w:rsidRPr="00F432A8" w:rsidRDefault="003F1745" w:rsidP="003F1745">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3F1745" w:rsidRPr="00F432A8" w:rsidRDefault="003F1745" w:rsidP="003F1745">
      <w:pPr>
        <w:rPr>
          <w:rFonts w:ascii="Times New Roman" w:hAnsi="Times New Roman"/>
          <w:b/>
          <w:i/>
        </w:rPr>
      </w:pPr>
      <w:r w:rsidRPr="00F432A8">
        <w:rPr>
          <w:rFonts w:ascii="Times New Roman" w:hAnsi="Times New Roman"/>
          <w:b/>
        </w:rPr>
        <w:t>VI. Záró rendelkezés</w:t>
      </w:r>
    </w:p>
    <w:p w:rsidR="003F1745" w:rsidRPr="00F432A8" w:rsidRDefault="003F1745" w:rsidP="003F1745">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3F1745" w:rsidRPr="00F432A8" w:rsidRDefault="003F1745" w:rsidP="003F1745">
      <w:pPr>
        <w:rPr>
          <w:rFonts w:ascii="Times New Roman" w:hAnsi="Times New Roman"/>
        </w:rPr>
      </w:pPr>
    </w:p>
    <w:p w:rsidR="003F1745" w:rsidRPr="00F432A8" w:rsidRDefault="003F1745" w:rsidP="003F1745">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3F1745" w:rsidRDefault="003F1745" w:rsidP="003F1745">
      <w:r w:rsidRPr="00F432A8">
        <w:rPr>
          <w:rFonts w:ascii="Times New Roman" w:hAnsi="Times New Roman"/>
        </w:rPr>
        <w:t xml:space="preserve">A </w:t>
      </w:r>
      <w:r>
        <w:rPr>
          <w:rFonts w:ascii="Times New Roman" w:hAnsi="Times New Roman"/>
        </w:rPr>
        <w:t xml:space="preserve">tájékoztató érvényes 2019. 08. 01. naptól </w:t>
      </w:r>
      <w:r w:rsidRPr="00F432A8">
        <w:rPr>
          <w:rFonts w:ascii="Times New Roman" w:hAnsi="Times New Roman"/>
        </w:rPr>
        <w:t>kezdődően.</w:t>
      </w:r>
      <w:bookmarkStart w:id="2" w:name="_GoBack"/>
      <w:bookmarkEnd w:id="2"/>
    </w:p>
    <w:sectPr w:rsidR="00980AF0" w:rsidRPr="003F1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6"/>
  </w:num>
  <w:num w:numId="2">
    <w:abstractNumId w:val="8"/>
  </w:num>
  <w:num w:numId="3">
    <w:abstractNumId w:val="10"/>
  </w:num>
  <w:num w:numId="4">
    <w:abstractNumId w:val="12"/>
  </w:num>
  <w:num w:numId="5">
    <w:abstractNumId w:val="2"/>
  </w:num>
  <w:num w:numId="6">
    <w:abstractNumId w:val="3"/>
  </w:num>
  <w:num w:numId="7">
    <w:abstractNumId w:val="17"/>
  </w:num>
  <w:num w:numId="8">
    <w:abstractNumId w:val="5"/>
  </w:num>
  <w:num w:numId="9">
    <w:abstractNumId w:val="18"/>
  </w:num>
  <w:num w:numId="10">
    <w:abstractNumId w:val="0"/>
  </w:num>
  <w:num w:numId="11">
    <w:abstractNumId w:val="9"/>
  </w:num>
  <w:num w:numId="12">
    <w:abstractNumId w:val="7"/>
  </w:num>
  <w:num w:numId="13">
    <w:abstractNumId w:val="14"/>
  </w:num>
  <w:num w:numId="14">
    <w:abstractNumId w:val="6"/>
  </w:num>
  <w:num w:numId="15">
    <w:abstractNumId w:val="20"/>
  </w:num>
  <w:num w:numId="16">
    <w:abstractNumId w:val="13"/>
  </w:num>
  <w:num w:numId="17">
    <w:abstractNumId w:val="19"/>
  </w:num>
  <w:num w:numId="18">
    <w:abstractNumId w:val="11"/>
  </w:num>
  <w:num w:numId="19">
    <w:abstractNumId w:val="21"/>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3F1745"/>
    <w:rsid w:val="004A39ED"/>
    <w:rsid w:val="004A739F"/>
    <w:rsid w:val="0053686D"/>
    <w:rsid w:val="00596BDB"/>
    <w:rsid w:val="00980AF0"/>
    <w:rsid w:val="00B37A11"/>
    <w:rsid w:val="00CE759D"/>
    <w:rsid w:val="00D7541C"/>
    <w:rsid w:val="00E77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13" Type="http://schemas.openxmlformats.org/officeDocument/2006/relationships/hyperlink" Target="https://net.jogtar.hu/jogszabaly?docid=99300003.T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jogtar.hu/jogszabaly?docid=99300003.TV" TargetMode="External"/><Relationship Id="rId12" Type="http://schemas.openxmlformats.org/officeDocument/2006/relationships/hyperlink" Target="https://net.jogtar.hu/jogszabaly?docid=99300003.T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t.jogtar.hu/jogszabaly?docid=99300003.TV" TargetMode="External"/><Relationship Id="rId1" Type="http://schemas.openxmlformats.org/officeDocument/2006/relationships/numbering" Target="numbering.xml"/><Relationship Id="rId6" Type="http://schemas.openxmlformats.org/officeDocument/2006/relationships/hyperlink" Target="https://net.jogtar.hu/jogszabaly?docid=99300003.TV" TargetMode="External"/><Relationship Id="rId11" Type="http://schemas.openxmlformats.org/officeDocument/2006/relationships/hyperlink" Target="https://net.jogtar.hu/jogszabaly?docid=99300003.TV" TargetMode="External"/><Relationship Id="rId5" Type="http://schemas.openxmlformats.org/officeDocument/2006/relationships/hyperlink" Target="mailto:adatvedelem@feszgyi.hu" TargetMode="External"/><Relationship Id="rId15" Type="http://schemas.openxmlformats.org/officeDocument/2006/relationships/hyperlink" Target="https://net.jogtar.hu/jogszabaly?docid=99300003.TV" TargetMode="External"/><Relationship Id="rId10"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hyperlink" Target="https://net.jogtar.hu/jogszabaly?docid=99300003.TV" TargetMode="External"/><Relationship Id="rId14" Type="http://schemas.openxmlformats.org/officeDocument/2006/relationships/hyperlink" Target="https://net.jogtar.hu/jogszabaly?docid=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19050</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2019-09-17T17:16:00Z</dcterms:created>
  <dcterms:modified xsi:type="dcterms:W3CDTF">2019-09-17T17:16:00Z</dcterms:modified>
</cp:coreProperties>
</file>