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1A6" w:rsidRPr="00F432A8" w:rsidRDefault="007411A6" w:rsidP="007411A6">
      <w:pPr>
        <w:pStyle w:val="Cmsor1"/>
        <w:rPr>
          <w:rFonts w:ascii="Times New Roman" w:hAnsi="Times New Roman"/>
          <w:sz w:val="22"/>
          <w:szCs w:val="22"/>
        </w:rPr>
      </w:pPr>
      <w:bookmarkStart w:id="0" w:name="_Toc11599637"/>
      <w:r>
        <w:rPr>
          <w:rFonts w:ascii="Times New Roman" w:hAnsi="Times New Roman"/>
          <w:sz w:val="22"/>
          <w:szCs w:val="22"/>
          <w:lang w:val="hu-HU"/>
        </w:rPr>
        <w:t>3</w:t>
      </w:r>
      <w:r w:rsidRPr="00F432A8">
        <w:rPr>
          <w:rFonts w:ascii="Times New Roman" w:hAnsi="Times New Roman"/>
          <w:sz w:val="22"/>
          <w:szCs w:val="22"/>
          <w:lang w:val="hu-HU"/>
        </w:rPr>
        <w:t>2</w:t>
      </w:r>
      <w:r w:rsidRPr="00F432A8">
        <w:rPr>
          <w:rFonts w:ascii="Times New Roman" w:hAnsi="Times New Roman"/>
          <w:sz w:val="22"/>
          <w:szCs w:val="22"/>
        </w:rPr>
        <w:t xml:space="preserve">. számú melléklet </w:t>
      </w:r>
      <w:proofErr w:type="gramStart"/>
      <w:r w:rsidRPr="00F432A8">
        <w:rPr>
          <w:rFonts w:ascii="Times New Roman" w:hAnsi="Times New Roman"/>
          <w:sz w:val="22"/>
          <w:szCs w:val="22"/>
        </w:rPr>
        <w:t>–  Adatkezelési</w:t>
      </w:r>
      <w:proofErr w:type="gramEnd"/>
      <w:r w:rsidRPr="00F432A8">
        <w:rPr>
          <w:rFonts w:ascii="Times New Roman" w:hAnsi="Times New Roman"/>
          <w:sz w:val="22"/>
          <w:szCs w:val="22"/>
        </w:rPr>
        <w:t xml:space="preserve"> tájékoztató „</w:t>
      </w:r>
      <w:r w:rsidRPr="00F432A8">
        <w:rPr>
          <w:rFonts w:ascii="Times New Roman" w:hAnsi="Times New Roman"/>
          <w:i/>
          <w:sz w:val="22"/>
          <w:szCs w:val="22"/>
          <w:lang w:val="hu-HU"/>
        </w:rPr>
        <w:t>intézményi beléptetés</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p>
    <w:p w:rsidR="007411A6" w:rsidRPr="00F432A8" w:rsidRDefault="007411A6" w:rsidP="007411A6">
      <w:pPr>
        <w:rPr>
          <w:rFonts w:ascii="Times New Roman" w:hAnsi="Times New Roman"/>
          <w:b/>
        </w:rPr>
      </w:pPr>
    </w:p>
    <w:p w:rsidR="007411A6" w:rsidRPr="00F432A8" w:rsidRDefault="007411A6" w:rsidP="007411A6">
      <w:pPr>
        <w:rPr>
          <w:rFonts w:ascii="Times New Roman" w:hAnsi="Times New Roman"/>
          <w:b/>
        </w:rPr>
      </w:pPr>
      <w:r w:rsidRPr="00F432A8">
        <w:rPr>
          <w:rFonts w:ascii="Times New Roman" w:hAnsi="Times New Roman"/>
          <w:b/>
        </w:rPr>
        <w:t>I. Az adatkezelő adatai és elérhetőségei</w:t>
      </w:r>
    </w:p>
    <w:p w:rsidR="007411A6" w:rsidRDefault="007411A6" w:rsidP="007411A6">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7411A6" w:rsidRPr="00F432A8" w:rsidRDefault="007411A6" w:rsidP="007411A6">
      <w:pPr>
        <w:ind w:left="3540" w:firstLine="708"/>
        <w:rPr>
          <w:rFonts w:ascii="Times New Roman" w:hAnsi="Times New Roman"/>
        </w:rPr>
      </w:pPr>
      <w:r w:rsidRPr="005A3280">
        <w:rPr>
          <w:rFonts w:ascii="Times New Roman" w:hAnsi="Times New Roman"/>
          <w:b/>
        </w:rPr>
        <w:t>I. számú Gondozási Központ</w:t>
      </w:r>
    </w:p>
    <w:p w:rsidR="007411A6" w:rsidRPr="00F432A8" w:rsidRDefault="007411A6" w:rsidP="007411A6">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7411A6" w:rsidRPr="00F432A8" w:rsidRDefault="007411A6" w:rsidP="007411A6">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7411A6" w:rsidRPr="00F432A8" w:rsidRDefault="007411A6" w:rsidP="007411A6">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7411A6" w:rsidRPr="00F432A8" w:rsidRDefault="007411A6" w:rsidP="007411A6">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7411A6" w:rsidRPr="00F432A8" w:rsidRDefault="007411A6" w:rsidP="007411A6">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7411A6" w:rsidRPr="00F432A8" w:rsidRDefault="007411A6" w:rsidP="007411A6">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7411A6" w:rsidRPr="00F432A8" w:rsidRDefault="007411A6" w:rsidP="007411A6">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7411A6" w:rsidRPr="00F432A8" w:rsidRDefault="007411A6" w:rsidP="007411A6">
      <w:pPr>
        <w:rPr>
          <w:rFonts w:ascii="Times New Roman" w:hAnsi="Times New Roman"/>
          <w:b/>
        </w:rPr>
      </w:pPr>
    </w:p>
    <w:p w:rsidR="007411A6" w:rsidRPr="00F432A8" w:rsidRDefault="007411A6" w:rsidP="007411A6">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8"/>
        <w:gridCol w:w="4594"/>
      </w:tblGrid>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Érintettek köre</w:t>
            </w:r>
          </w:p>
        </w:tc>
        <w:tc>
          <w:tcPr>
            <w:tcW w:w="7072" w:type="dxa"/>
          </w:tcPr>
          <w:p w:rsidR="007411A6" w:rsidRPr="00F432A8" w:rsidRDefault="007411A6" w:rsidP="00423682">
            <w:pPr>
              <w:rPr>
                <w:rFonts w:ascii="Times New Roman" w:hAnsi="Times New Roman"/>
                <w:sz w:val="20"/>
                <w:szCs w:val="20"/>
              </w:rPr>
            </w:pPr>
            <w:r w:rsidRPr="00F432A8">
              <w:rPr>
                <w:rFonts w:ascii="Times New Roman" w:hAnsi="Times New Roman"/>
                <w:sz w:val="20"/>
                <w:szCs w:val="20"/>
              </w:rPr>
              <w:t>Az intézményi telephelyekre belépők</w:t>
            </w:r>
          </w:p>
        </w:tc>
      </w:tr>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A személyes adatok köre</w:t>
            </w:r>
          </w:p>
        </w:tc>
        <w:tc>
          <w:tcPr>
            <w:tcW w:w="7072" w:type="dxa"/>
          </w:tcPr>
          <w:p w:rsidR="007411A6" w:rsidRPr="00F432A8" w:rsidRDefault="007411A6" w:rsidP="00423682">
            <w:pPr>
              <w:rPr>
                <w:rFonts w:ascii="Times New Roman" w:hAnsi="Times New Roman"/>
                <w:sz w:val="20"/>
                <w:szCs w:val="20"/>
              </w:rPr>
            </w:pPr>
            <w:r w:rsidRPr="00F432A8">
              <w:rPr>
                <w:rFonts w:ascii="Times New Roman" w:hAnsi="Times New Roman"/>
                <w:sz w:val="20"/>
                <w:szCs w:val="20"/>
              </w:rPr>
              <w:t>név, személyi igazolvány száma</w:t>
            </w:r>
          </w:p>
        </w:tc>
      </w:tr>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Az adatkezelés jogalapja</w:t>
            </w:r>
          </w:p>
        </w:tc>
        <w:tc>
          <w:tcPr>
            <w:tcW w:w="7072" w:type="dxa"/>
          </w:tcPr>
          <w:p w:rsidR="007411A6" w:rsidRPr="00F432A8" w:rsidRDefault="007411A6" w:rsidP="00423682">
            <w:pPr>
              <w:rPr>
                <w:rFonts w:ascii="Times New Roman" w:hAnsi="Times New Roman"/>
                <w:sz w:val="20"/>
                <w:szCs w:val="20"/>
              </w:rPr>
            </w:pPr>
            <w:r w:rsidRPr="00F432A8">
              <w:rPr>
                <w:rFonts w:ascii="Times New Roman" w:hAnsi="Times New Roman"/>
                <w:sz w:val="20"/>
                <w:szCs w:val="20"/>
              </w:rPr>
              <w:t>Az adatkezelő és ellátottak jogos érdeke</w:t>
            </w:r>
          </w:p>
        </w:tc>
      </w:tr>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Az adatkezelés célja</w:t>
            </w:r>
          </w:p>
        </w:tc>
        <w:tc>
          <w:tcPr>
            <w:tcW w:w="7072" w:type="dxa"/>
          </w:tcPr>
          <w:p w:rsidR="007411A6" w:rsidRPr="00F432A8" w:rsidRDefault="007411A6" w:rsidP="00423682">
            <w:pPr>
              <w:rPr>
                <w:rFonts w:ascii="Times New Roman" w:hAnsi="Times New Roman"/>
                <w:sz w:val="20"/>
                <w:szCs w:val="20"/>
              </w:rPr>
            </w:pPr>
            <w:r w:rsidRPr="00F432A8">
              <w:rPr>
                <w:rFonts w:ascii="Times New Roman" w:hAnsi="Times New Roman"/>
                <w:sz w:val="20"/>
                <w:szCs w:val="20"/>
              </w:rPr>
              <w:t>Vagyonvédelem – az intézmény vagyontárgyainak védelme</w:t>
            </w:r>
          </w:p>
          <w:p w:rsidR="007411A6" w:rsidRPr="00F432A8" w:rsidRDefault="007411A6" w:rsidP="00423682">
            <w:pPr>
              <w:rPr>
                <w:rFonts w:ascii="Times New Roman" w:hAnsi="Times New Roman"/>
                <w:sz w:val="20"/>
                <w:szCs w:val="20"/>
              </w:rPr>
            </w:pPr>
            <w:r w:rsidRPr="00F432A8">
              <w:rPr>
                <w:rFonts w:ascii="Times New Roman" w:hAnsi="Times New Roman"/>
                <w:sz w:val="20"/>
                <w:szCs w:val="20"/>
              </w:rPr>
              <w:t>Személyi védelem – az intézmény ellátottjainak, dolgozóinak a védelme</w:t>
            </w:r>
          </w:p>
          <w:p w:rsidR="007411A6" w:rsidRPr="00F432A8" w:rsidRDefault="007411A6" w:rsidP="00423682">
            <w:pPr>
              <w:rPr>
                <w:rFonts w:ascii="Times New Roman" w:hAnsi="Times New Roman"/>
                <w:sz w:val="20"/>
                <w:szCs w:val="20"/>
              </w:rPr>
            </w:pPr>
            <w:r w:rsidRPr="00F432A8">
              <w:rPr>
                <w:rFonts w:ascii="Times New Roman" w:hAnsi="Times New Roman"/>
                <w:sz w:val="20"/>
                <w:szCs w:val="20"/>
              </w:rPr>
              <w:t>Adatbiztonság – az intézmény telephelyeire belépő személyek beazonosítása</w:t>
            </w:r>
          </w:p>
        </w:tc>
      </w:tr>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Adatokat megismerheti</w:t>
            </w:r>
          </w:p>
        </w:tc>
        <w:tc>
          <w:tcPr>
            <w:tcW w:w="7072" w:type="dxa"/>
          </w:tcPr>
          <w:p w:rsidR="007411A6" w:rsidRPr="00F432A8" w:rsidRDefault="007411A6" w:rsidP="00423682">
            <w:pPr>
              <w:rPr>
                <w:rFonts w:ascii="Times New Roman" w:hAnsi="Times New Roman"/>
                <w:sz w:val="20"/>
                <w:szCs w:val="20"/>
              </w:rPr>
            </w:pPr>
            <w:r>
              <w:rPr>
                <w:rFonts w:ascii="Times New Roman" w:hAnsi="Times New Roman"/>
                <w:sz w:val="20"/>
                <w:szCs w:val="20"/>
              </w:rPr>
              <w:t>Intézményvezető</w:t>
            </w:r>
            <w:r w:rsidRPr="00F432A8">
              <w:rPr>
                <w:rFonts w:ascii="Times New Roman" w:hAnsi="Times New Roman"/>
                <w:sz w:val="20"/>
                <w:szCs w:val="20"/>
              </w:rPr>
              <w:t>, rendőrség, bíróság</w:t>
            </w:r>
          </w:p>
        </w:tc>
      </w:tr>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A személyes adatok tárolása</w:t>
            </w:r>
          </w:p>
        </w:tc>
        <w:tc>
          <w:tcPr>
            <w:tcW w:w="7072" w:type="dxa"/>
          </w:tcPr>
          <w:p w:rsidR="007411A6" w:rsidRPr="00F432A8" w:rsidRDefault="007411A6" w:rsidP="00423682">
            <w:pPr>
              <w:rPr>
                <w:rFonts w:ascii="Times New Roman" w:hAnsi="Times New Roman"/>
                <w:sz w:val="20"/>
                <w:szCs w:val="20"/>
              </w:rPr>
            </w:pPr>
            <w:r w:rsidRPr="00F432A8">
              <w:rPr>
                <w:rFonts w:ascii="Times New Roman" w:hAnsi="Times New Roman"/>
                <w:sz w:val="20"/>
                <w:szCs w:val="20"/>
              </w:rPr>
              <w:t>fizikailag az adott telephely portáján</w:t>
            </w:r>
          </w:p>
        </w:tc>
      </w:tr>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A tárolás időtartama</w:t>
            </w:r>
          </w:p>
        </w:tc>
        <w:tc>
          <w:tcPr>
            <w:tcW w:w="7072" w:type="dxa"/>
          </w:tcPr>
          <w:p w:rsidR="007411A6" w:rsidRPr="00F432A8" w:rsidRDefault="007411A6" w:rsidP="00423682">
            <w:pPr>
              <w:rPr>
                <w:rFonts w:ascii="Times New Roman" w:hAnsi="Times New Roman"/>
                <w:sz w:val="20"/>
                <w:szCs w:val="20"/>
              </w:rPr>
            </w:pPr>
            <w:r w:rsidRPr="00F432A8">
              <w:rPr>
                <w:rFonts w:ascii="Times New Roman" w:hAnsi="Times New Roman"/>
                <w:sz w:val="20"/>
                <w:szCs w:val="20"/>
              </w:rPr>
              <w:t>Az intézmény elhagyásától számított 5 év</w:t>
            </w:r>
          </w:p>
        </w:tc>
      </w:tr>
      <w:tr w:rsidR="007411A6" w:rsidRPr="00F432A8" w:rsidTr="00423682">
        <w:tc>
          <w:tcPr>
            <w:tcW w:w="7072" w:type="dxa"/>
          </w:tcPr>
          <w:p w:rsidR="007411A6" w:rsidRPr="00F432A8" w:rsidRDefault="007411A6" w:rsidP="00423682">
            <w:pPr>
              <w:rPr>
                <w:rFonts w:ascii="Times New Roman" w:hAnsi="Times New Roman"/>
                <w:b/>
                <w:sz w:val="20"/>
                <w:szCs w:val="20"/>
              </w:rPr>
            </w:pPr>
            <w:r w:rsidRPr="00F432A8">
              <w:rPr>
                <w:rFonts w:ascii="Times New Roman" w:hAnsi="Times New Roman"/>
                <w:b/>
                <w:sz w:val="20"/>
                <w:szCs w:val="20"/>
              </w:rPr>
              <w:t>Adatok továbbítása</w:t>
            </w:r>
          </w:p>
        </w:tc>
        <w:tc>
          <w:tcPr>
            <w:tcW w:w="7072" w:type="dxa"/>
          </w:tcPr>
          <w:p w:rsidR="007411A6" w:rsidRPr="00F432A8" w:rsidRDefault="007411A6" w:rsidP="00423682">
            <w:pPr>
              <w:rPr>
                <w:rFonts w:ascii="Times New Roman" w:hAnsi="Times New Roman"/>
                <w:sz w:val="20"/>
                <w:szCs w:val="20"/>
              </w:rPr>
            </w:pPr>
            <w:r w:rsidRPr="00F432A8">
              <w:rPr>
                <w:rFonts w:ascii="Times New Roman" w:hAnsi="Times New Roman"/>
                <w:sz w:val="20"/>
                <w:szCs w:val="20"/>
              </w:rPr>
              <w:t>Hatóság részére az adatkezelési cél megvalósulása érdekében</w:t>
            </w:r>
          </w:p>
        </w:tc>
      </w:tr>
    </w:tbl>
    <w:p w:rsidR="007411A6" w:rsidRPr="00F432A8" w:rsidRDefault="007411A6" w:rsidP="007411A6">
      <w:pPr>
        <w:rPr>
          <w:rFonts w:ascii="Times New Roman" w:hAnsi="Times New Roman"/>
          <w:sz w:val="20"/>
          <w:szCs w:val="20"/>
        </w:rPr>
      </w:pP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b/>
          <w:i/>
        </w:rPr>
      </w:pPr>
      <w:r w:rsidRPr="00F432A8">
        <w:rPr>
          <w:rFonts w:ascii="Times New Roman" w:hAnsi="Times New Roman"/>
          <w:b/>
        </w:rPr>
        <w:t>III. Adatbiztonság</w:t>
      </w:r>
    </w:p>
    <w:p w:rsidR="007411A6" w:rsidRPr="00F432A8" w:rsidRDefault="007411A6" w:rsidP="007411A6">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b/>
          <w:i/>
        </w:rPr>
      </w:pPr>
      <w:r w:rsidRPr="00F432A8">
        <w:rPr>
          <w:rFonts w:ascii="Times New Roman" w:hAnsi="Times New Roman"/>
          <w:b/>
        </w:rPr>
        <w:t>IV. Személyes adatainak kezelésével kapcsolatos jogai</w:t>
      </w:r>
    </w:p>
    <w:p w:rsidR="007411A6" w:rsidRPr="00F432A8" w:rsidRDefault="007411A6" w:rsidP="007411A6">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7411A6" w:rsidRPr="00F432A8" w:rsidRDefault="007411A6" w:rsidP="007411A6">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7411A6" w:rsidRPr="00F432A8" w:rsidRDefault="007411A6" w:rsidP="007411A6">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7411A6" w:rsidRPr="00F432A8" w:rsidRDefault="007411A6" w:rsidP="007411A6">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7411A6" w:rsidRPr="00F432A8" w:rsidRDefault="007411A6" w:rsidP="007411A6">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7411A6" w:rsidRPr="00F432A8" w:rsidRDefault="007411A6" w:rsidP="007411A6">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7411A6" w:rsidRPr="00F432A8" w:rsidRDefault="007411A6" w:rsidP="007411A6">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7411A6" w:rsidRPr="00F432A8" w:rsidRDefault="007411A6" w:rsidP="007411A6">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rPr>
      </w:pPr>
      <w:r w:rsidRPr="00F432A8">
        <w:rPr>
          <w:rFonts w:ascii="Times New Roman" w:hAnsi="Times New Roman"/>
        </w:rPr>
        <w:t>A tájékoztatás kérése ugyanazon adatkörre vonatkozóan első alkalommal ingyenes.</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b/>
        </w:rPr>
      </w:pPr>
      <w:r w:rsidRPr="00F432A8">
        <w:rPr>
          <w:rFonts w:ascii="Times New Roman" w:hAnsi="Times New Roman"/>
          <w:b/>
        </w:rPr>
        <w:lastRenderedPageBreak/>
        <w:t>A törléshez való jog</w:t>
      </w:r>
    </w:p>
    <w:p w:rsidR="007411A6" w:rsidRPr="00F432A8" w:rsidRDefault="007411A6" w:rsidP="007411A6">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7411A6" w:rsidRPr="00F432A8" w:rsidRDefault="007411A6" w:rsidP="007411A6">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b/>
        </w:rPr>
      </w:pPr>
      <w:r w:rsidRPr="00F432A8">
        <w:rPr>
          <w:rFonts w:ascii="Times New Roman" w:hAnsi="Times New Roman"/>
          <w:b/>
        </w:rPr>
        <w:t>A zároláshoz (adatkezelés korlátozásához) való jog</w:t>
      </w:r>
    </w:p>
    <w:p w:rsidR="007411A6" w:rsidRPr="00F432A8" w:rsidRDefault="007411A6" w:rsidP="007411A6">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b/>
        </w:rPr>
      </w:pPr>
      <w:r w:rsidRPr="00F432A8">
        <w:rPr>
          <w:rFonts w:ascii="Times New Roman" w:hAnsi="Times New Roman"/>
          <w:b/>
        </w:rPr>
        <w:t>A tiltakozáshoz való jog</w:t>
      </w:r>
    </w:p>
    <w:p w:rsidR="007411A6" w:rsidRPr="00F432A8" w:rsidRDefault="007411A6" w:rsidP="007411A6">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7411A6" w:rsidRPr="00F432A8" w:rsidRDefault="007411A6" w:rsidP="007411A6">
      <w:pPr>
        <w:rPr>
          <w:rFonts w:ascii="Times New Roman" w:hAnsi="Times New Roman"/>
          <w:b/>
        </w:rPr>
      </w:pPr>
    </w:p>
    <w:p w:rsidR="007411A6" w:rsidRPr="00F432A8" w:rsidRDefault="007411A6" w:rsidP="007411A6">
      <w:pPr>
        <w:rPr>
          <w:rFonts w:ascii="Times New Roman" w:hAnsi="Times New Roman"/>
          <w:b/>
        </w:rPr>
      </w:pPr>
      <w:r w:rsidRPr="00F432A8">
        <w:rPr>
          <w:rFonts w:ascii="Times New Roman" w:hAnsi="Times New Roman"/>
          <w:b/>
        </w:rPr>
        <w:t>Az adathordozhatósághoz való jog</w:t>
      </w:r>
    </w:p>
    <w:p w:rsidR="007411A6" w:rsidRPr="00F432A8" w:rsidRDefault="007411A6" w:rsidP="007411A6">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b/>
        </w:rPr>
      </w:pPr>
      <w:r w:rsidRPr="00F432A8">
        <w:rPr>
          <w:rFonts w:ascii="Times New Roman" w:hAnsi="Times New Roman"/>
          <w:b/>
        </w:rPr>
        <w:t>Hozzájárulás visszavonásának joga</w:t>
      </w:r>
    </w:p>
    <w:p w:rsidR="007411A6" w:rsidRPr="00F432A8" w:rsidRDefault="007411A6" w:rsidP="007411A6">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7411A6" w:rsidRPr="00F432A8" w:rsidRDefault="007411A6" w:rsidP="007411A6">
      <w:pPr>
        <w:rPr>
          <w:rFonts w:ascii="Times New Roman" w:hAnsi="Times New Roman"/>
          <w:b/>
        </w:rPr>
      </w:pPr>
    </w:p>
    <w:p w:rsidR="007411A6" w:rsidRPr="00F432A8" w:rsidRDefault="007411A6" w:rsidP="007411A6">
      <w:pPr>
        <w:rPr>
          <w:rFonts w:ascii="Times New Roman" w:hAnsi="Times New Roman"/>
          <w:b/>
          <w:i/>
        </w:rPr>
      </w:pPr>
      <w:r w:rsidRPr="00F432A8">
        <w:rPr>
          <w:rFonts w:ascii="Times New Roman" w:hAnsi="Times New Roman"/>
          <w:b/>
        </w:rPr>
        <w:t>V. Jogorvoslati tájékoztatás</w:t>
      </w:r>
    </w:p>
    <w:p w:rsidR="007411A6" w:rsidRPr="00F432A8" w:rsidRDefault="007411A6" w:rsidP="007411A6">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7411A6" w:rsidRPr="00F432A8" w:rsidRDefault="007411A6" w:rsidP="007411A6">
      <w:pPr>
        <w:rPr>
          <w:rFonts w:ascii="Times New Roman" w:hAnsi="Times New Roman"/>
          <w:b/>
          <w:i/>
        </w:rPr>
      </w:pPr>
      <w:r w:rsidRPr="00F432A8">
        <w:rPr>
          <w:rFonts w:ascii="Times New Roman" w:hAnsi="Times New Roman"/>
          <w:b/>
        </w:rPr>
        <w:t>VI. Záró rendelkezés</w:t>
      </w:r>
    </w:p>
    <w:p w:rsidR="007411A6" w:rsidRPr="00F432A8" w:rsidRDefault="007411A6" w:rsidP="007411A6">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7411A6" w:rsidRPr="00F432A8" w:rsidRDefault="007411A6" w:rsidP="007411A6">
      <w:pPr>
        <w:rPr>
          <w:rFonts w:ascii="Times New Roman" w:hAnsi="Times New Roman"/>
        </w:rPr>
      </w:pPr>
    </w:p>
    <w:p w:rsidR="007411A6" w:rsidRPr="00F432A8" w:rsidRDefault="007411A6" w:rsidP="007411A6">
      <w:pPr>
        <w:rPr>
          <w:rFonts w:ascii="Times New Roman" w:hAnsi="Times New Roman"/>
          <w:b/>
        </w:rPr>
      </w:pPr>
      <w:r w:rsidRPr="00F432A8">
        <w:rPr>
          <w:rFonts w:ascii="Times New Roman" w:hAnsi="Times New Roman"/>
          <w:b/>
        </w:rPr>
        <w:lastRenderedPageBreak/>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7411A6" w:rsidRPr="00F432A8" w:rsidRDefault="007411A6" w:rsidP="007411A6">
      <w:pPr>
        <w:rPr>
          <w:rFonts w:ascii="Times New Roman" w:hAnsi="Times New Roman"/>
        </w:rPr>
      </w:pPr>
      <w:r w:rsidRPr="00F432A8">
        <w:rPr>
          <w:rFonts w:ascii="Times New Roman" w:hAnsi="Times New Roman"/>
        </w:rPr>
        <w:t xml:space="preserve">A </w:t>
      </w:r>
      <w:r>
        <w:rPr>
          <w:rFonts w:ascii="Times New Roman" w:hAnsi="Times New Roman"/>
        </w:rPr>
        <w:t xml:space="preserve">tájékoztató érvényes 2019. 08. 01. </w:t>
      </w:r>
      <w:proofErr w:type="spellStart"/>
      <w:r>
        <w:rPr>
          <w:rFonts w:ascii="Times New Roman" w:hAnsi="Times New Roman"/>
        </w:rPr>
        <w:t>naptól</w:t>
      </w:r>
      <w:r w:rsidRPr="00F432A8">
        <w:rPr>
          <w:rFonts w:ascii="Times New Roman" w:hAnsi="Times New Roman"/>
        </w:rPr>
        <w:t>kezdődően</w:t>
      </w:r>
      <w:proofErr w:type="spellEnd"/>
      <w:r w:rsidRPr="00F432A8">
        <w:rPr>
          <w:rFonts w:ascii="Times New Roman" w:hAnsi="Times New Roman"/>
        </w:rPr>
        <w:t>.</w:t>
      </w:r>
    </w:p>
    <w:p w:rsidR="00980AF0" w:rsidRPr="007411A6" w:rsidRDefault="00980AF0" w:rsidP="007411A6">
      <w:bookmarkStart w:id="1" w:name="_GoBack"/>
      <w:bookmarkEnd w:id="1"/>
    </w:p>
    <w:sectPr w:rsidR="00980AF0" w:rsidRPr="00741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3F1745"/>
    <w:rsid w:val="004A39ED"/>
    <w:rsid w:val="004A739F"/>
    <w:rsid w:val="0053686D"/>
    <w:rsid w:val="00596BDB"/>
    <w:rsid w:val="007411A6"/>
    <w:rsid w:val="00980AF0"/>
    <w:rsid w:val="00B37A11"/>
    <w:rsid w:val="00CE759D"/>
    <w:rsid w:val="00D7541C"/>
    <w:rsid w:val="00D926F8"/>
    <w:rsid w:val="00E77ECF"/>
    <w:rsid w:val="00F06D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5493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2019-09-17T17:18:00Z</dcterms:created>
  <dcterms:modified xsi:type="dcterms:W3CDTF">2019-09-17T17:18:00Z</dcterms:modified>
</cp:coreProperties>
</file>