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1B" w:rsidRPr="00F432A8" w:rsidRDefault="0096611B" w:rsidP="0096611B">
      <w:pPr>
        <w:pStyle w:val="Cmsor1"/>
        <w:rPr>
          <w:rFonts w:ascii="Times New Roman" w:hAnsi="Times New Roman"/>
          <w:sz w:val="22"/>
          <w:szCs w:val="22"/>
        </w:rPr>
      </w:pPr>
      <w:bookmarkStart w:id="0" w:name="_Toc11599638"/>
      <w:r>
        <w:rPr>
          <w:rFonts w:ascii="Times New Roman" w:hAnsi="Times New Roman"/>
          <w:sz w:val="22"/>
          <w:szCs w:val="22"/>
          <w:lang w:val="hu-HU"/>
        </w:rPr>
        <w:t>3</w:t>
      </w:r>
      <w:r w:rsidRPr="00F432A8">
        <w:rPr>
          <w:rFonts w:ascii="Times New Roman" w:hAnsi="Times New Roman"/>
          <w:sz w:val="22"/>
          <w:szCs w:val="22"/>
          <w:lang w:val="hu-HU"/>
        </w:rPr>
        <w:t>3</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i/>
          <w:sz w:val="22"/>
          <w:szCs w:val="22"/>
          <w:lang w:val="hu-HU"/>
        </w:rPr>
        <w:t>iratbetekintés</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96611B" w:rsidRPr="00F432A8" w:rsidRDefault="0096611B" w:rsidP="0096611B">
      <w:pPr>
        <w:rPr>
          <w:rFonts w:ascii="Times New Roman" w:hAnsi="Times New Roman"/>
          <w:b/>
        </w:rPr>
      </w:pPr>
    </w:p>
    <w:p w:rsidR="0096611B" w:rsidRPr="00F432A8" w:rsidRDefault="0096611B" w:rsidP="0096611B">
      <w:pPr>
        <w:rPr>
          <w:rFonts w:ascii="Times New Roman" w:hAnsi="Times New Roman"/>
          <w:b/>
        </w:rPr>
      </w:pPr>
      <w:r w:rsidRPr="00F432A8">
        <w:rPr>
          <w:rFonts w:ascii="Times New Roman" w:hAnsi="Times New Roman"/>
          <w:b/>
        </w:rPr>
        <w:t>I. Az adatkezelő adatai és elérhetőségei</w:t>
      </w:r>
    </w:p>
    <w:p w:rsidR="0096611B" w:rsidRDefault="0096611B" w:rsidP="0096611B">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96611B" w:rsidRPr="00F432A8" w:rsidRDefault="0096611B" w:rsidP="0096611B">
      <w:pPr>
        <w:ind w:left="3540" w:firstLine="708"/>
        <w:rPr>
          <w:rFonts w:ascii="Times New Roman" w:hAnsi="Times New Roman"/>
        </w:rPr>
      </w:pPr>
      <w:r w:rsidRPr="005A3280">
        <w:rPr>
          <w:rFonts w:ascii="Times New Roman" w:hAnsi="Times New Roman"/>
          <w:b/>
        </w:rPr>
        <w:t>I. számú Gondozási Központ</w:t>
      </w:r>
    </w:p>
    <w:p w:rsidR="0096611B" w:rsidRPr="00F432A8" w:rsidRDefault="0096611B" w:rsidP="0096611B">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96611B" w:rsidRPr="00F432A8" w:rsidRDefault="0096611B" w:rsidP="0096611B">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96611B" w:rsidRPr="00F432A8" w:rsidRDefault="0096611B" w:rsidP="0096611B">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96611B" w:rsidRPr="00F432A8" w:rsidRDefault="0096611B" w:rsidP="0096611B">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96611B" w:rsidRPr="00F432A8" w:rsidRDefault="0096611B" w:rsidP="0096611B">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96611B" w:rsidRPr="00F432A8" w:rsidRDefault="0096611B" w:rsidP="0096611B">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96611B" w:rsidRPr="00F432A8" w:rsidRDefault="0096611B" w:rsidP="0096611B">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96611B" w:rsidRPr="00F432A8" w:rsidRDefault="0096611B" w:rsidP="0096611B">
      <w:pPr>
        <w:spacing w:after="160" w:line="259" w:lineRule="auto"/>
        <w:jc w:val="left"/>
        <w:rPr>
          <w:rFonts w:ascii="Times New Roman" w:hAnsi="Times New Roman"/>
        </w:rPr>
      </w:pPr>
    </w:p>
    <w:p w:rsidR="0096611B" w:rsidRPr="00F432A8" w:rsidRDefault="0096611B" w:rsidP="0096611B">
      <w:pPr>
        <w:rPr>
          <w:rFonts w:ascii="Times New Roman" w:hAnsi="Times New Roman"/>
          <w:b/>
        </w:rPr>
      </w:pPr>
    </w:p>
    <w:p w:rsidR="0096611B" w:rsidRPr="00F432A8" w:rsidRDefault="0096611B" w:rsidP="0096611B">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634"/>
      </w:tblGrid>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Érintettek köre</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Az iratbetekintési joggal élő érintettek</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 személyes adatok köre</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Név, Lakcím, Anyja neve, Születési hely, idő, Elérhetőség, TAJ szám, aláírás, megtekinteni kért iratok</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Az adatkezelés jogalapja</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Az érintett hozzájárulása</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Az adatkezelés célja</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 xml:space="preserve">Az iratbetekintési jog gyakorlásának lehetővé tétele, az érintett beazonosítása és iratbetekintési joga gyakorlásának </w:t>
            </w:r>
            <w:proofErr w:type="spellStart"/>
            <w:r w:rsidRPr="00F432A8">
              <w:rPr>
                <w:rFonts w:ascii="Times New Roman" w:hAnsi="Times New Roman"/>
                <w:sz w:val="20"/>
                <w:szCs w:val="20"/>
              </w:rPr>
              <w:t>engedélyezhetősége</w:t>
            </w:r>
            <w:proofErr w:type="spellEnd"/>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Adatokat megismerheti</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Intézményvezető, érintett, arra feljogosított munkatárs</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 személyes adatok tárolása</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a megtekinteni kért irat aktájában</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 tárolás időtartama</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 xml:space="preserve">A szociális ellátásra való jogosultság megszűnésétől számított öt év elteltével </w:t>
            </w:r>
            <w:proofErr w:type="spellStart"/>
            <w:r w:rsidRPr="00F432A8">
              <w:rPr>
                <w:rFonts w:ascii="Times New Roman" w:hAnsi="Times New Roman"/>
                <w:sz w:val="20"/>
                <w:szCs w:val="20"/>
              </w:rPr>
              <w:t>törlendőek</w:t>
            </w:r>
            <w:proofErr w:type="spellEnd"/>
            <w:r w:rsidRPr="00F432A8">
              <w:rPr>
                <w:rFonts w:ascii="Times New Roman" w:hAnsi="Times New Roman"/>
                <w:sz w:val="20"/>
                <w:szCs w:val="20"/>
              </w:rPr>
              <w:t xml:space="preserve"> az adatok 1993. évi III. tv. 23.§ (1)</w:t>
            </w:r>
          </w:p>
          <w:p w:rsidR="0096611B" w:rsidRPr="00F432A8" w:rsidRDefault="0096611B" w:rsidP="00423682">
            <w:pPr>
              <w:rPr>
                <w:rFonts w:ascii="Times New Roman" w:hAnsi="Times New Roman"/>
                <w:sz w:val="20"/>
                <w:szCs w:val="20"/>
              </w:rPr>
            </w:pPr>
            <w:r w:rsidRPr="00F432A8">
              <w:rPr>
                <w:rFonts w:ascii="Times New Roman" w:hAnsi="Times New Roman"/>
                <w:sz w:val="20"/>
                <w:szCs w:val="20"/>
              </w:rPr>
              <w:t>Gyvt. 142.§ (1) jogosultság megszűnésétől, illetve a gyermek nagykorúságától számított 25 év elteltével - törölni kell az adott személyre vonatkozó adatokat.</w:t>
            </w:r>
          </w:p>
        </w:tc>
      </w:tr>
      <w:tr w:rsidR="0096611B" w:rsidRPr="00F432A8" w:rsidTr="00423682">
        <w:tc>
          <w:tcPr>
            <w:tcW w:w="7072" w:type="dxa"/>
          </w:tcPr>
          <w:p w:rsidR="0096611B" w:rsidRPr="00F432A8" w:rsidRDefault="0096611B" w:rsidP="00423682">
            <w:pPr>
              <w:rPr>
                <w:rFonts w:ascii="Times New Roman" w:hAnsi="Times New Roman"/>
                <w:b/>
                <w:sz w:val="20"/>
                <w:szCs w:val="20"/>
              </w:rPr>
            </w:pPr>
            <w:r w:rsidRPr="00F432A8">
              <w:rPr>
                <w:rFonts w:ascii="Times New Roman" w:hAnsi="Times New Roman"/>
                <w:b/>
                <w:sz w:val="20"/>
                <w:szCs w:val="20"/>
              </w:rPr>
              <w:t>Adatok továbbítása</w:t>
            </w:r>
          </w:p>
        </w:tc>
        <w:tc>
          <w:tcPr>
            <w:tcW w:w="7072" w:type="dxa"/>
          </w:tcPr>
          <w:p w:rsidR="0096611B" w:rsidRPr="00F432A8" w:rsidRDefault="0096611B" w:rsidP="00423682">
            <w:pPr>
              <w:rPr>
                <w:rFonts w:ascii="Times New Roman" w:hAnsi="Times New Roman"/>
                <w:sz w:val="20"/>
                <w:szCs w:val="20"/>
              </w:rPr>
            </w:pPr>
            <w:r w:rsidRPr="00F432A8">
              <w:rPr>
                <w:rFonts w:ascii="Times New Roman" w:hAnsi="Times New Roman"/>
                <w:sz w:val="20"/>
                <w:szCs w:val="20"/>
              </w:rPr>
              <w:t>Hatóság részére az adatkezelési cél megvalósulása érdekében</w:t>
            </w:r>
          </w:p>
        </w:tc>
      </w:tr>
    </w:tbl>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i/>
        </w:rPr>
      </w:pPr>
      <w:r w:rsidRPr="00F432A8">
        <w:rPr>
          <w:rFonts w:ascii="Times New Roman" w:hAnsi="Times New Roman"/>
          <w:b/>
        </w:rPr>
        <w:t>III. Adatbiztonság</w:t>
      </w:r>
    </w:p>
    <w:p w:rsidR="0096611B" w:rsidRPr="00F432A8" w:rsidRDefault="0096611B" w:rsidP="0096611B">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i/>
        </w:rPr>
      </w:pPr>
      <w:r w:rsidRPr="00F432A8">
        <w:rPr>
          <w:rFonts w:ascii="Times New Roman" w:hAnsi="Times New Roman"/>
          <w:b/>
        </w:rPr>
        <w:t>IV. Személyes adatainak kezelésével kapcsolatos jogai</w:t>
      </w:r>
    </w:p>
    <w:p w:rsidR="0096611B" w:rsidRPr="00F432A8" w:rsidRDefault="0096611B" w:rsidP="0096611B">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96611B" w:rsidRPr="00F432A8" w:rsidRDefault="0096611B" w:rsidP="0096611B">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96611B" w:rsidRPr="00F432A8" w:rsidRDefault="0096611B" w:rsidP="0096611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96611B" w:rsidRPr="00F432A8" w:rsidRDefault="0096611B" w:rsidP="0096611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96611B" w:rsidRPr="00F432A8" w:rsidRDefault="0096611B" w:rsidP="0096611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96611B" w:rsidRPr="00F432A8" w:rsidRDefault="0096611B" w:rsidP="0096611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96611B" w:rsidRPr="00F432A8" w:rsidRDefault="0096611B" w:rsidP="0096611B">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96611B" w:rsidRPr="00F432A8" w:rsidRDefault="0096611B" w:rsidP="0096611B">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rPr>
      </w:pPr>
      <w:r w:rsidRPr="00F432A8">
        <w:rPr>
          <w:rFonts w:ascii="Times New Roman" w:hAnsi="Times New Roman"/>
        </w:rPr>
        <w:t>A tájékoztatás kérése ugyanazon adatkörre vonatkozóan első alkalommal ingyenes.</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rPr>
      </w:pPr>
      <w:r w:rsidRPr="00F432A8">
        <w:rPr>
          <w:rFonts w:ascii="Times New Roman" w:hAnsi="Times New Roman"/>
          <w:b/>
        </w:rPr>
        <w:t>A törléshez való jog</w:t>
      </w:r>
    </w:p>
    <w:p w:rsidR="0096611B" w:rsidRPr="00F432A8" w:rsidRDefault="0096611B" w:rsidP="0096611B">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96611B" w:rsidRPr="00F432A8" w:rsidRDefault="0096611B" w:rsidP="0096611B">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rPr>
      </w:pPr>
      <w:r w:rsidRPr="00F432A8">
        <w:rPr>
          <w:rFonts w:ascii="Times New Roman" w:hAnsi="Times New Roman"/>
          <w:b/>
        </w:rPr>
        <w:t>A zároláshoz (adatkezelés korlátozásához) való jog</w:t>
      </w:r>
    </w:p>
    <w:p w:rsidR="0096611B" w:rsidRPr="00F432A8" w:rsidRDefault="0096611B" w:rsidP="0096611B">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rPr>
      </w:pPr>
      <w:r w:rsidRPr="00F432A8">
        <w:rPr>
          <w:rFonts w:ascii="Times New Roman" w:hAnsi="Times New Roman"/>
          <w:b/>
        </w:rPr>
        <w:t>A tiltakozáshoz való jog</w:t>
      </w:r>
    </w:p>
    <w:p w:rsidR="0096611B" w:rsidRPr="00F432A8" w:rsidRDefault="0096611B" w:rsidP="0096611B">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96611B" w:rsidRPr="00F432A8" w:rsidRDefault="0096611B" w:rsidP="0096611B">
      <w:pPr>
        <w:rPr>
          <w:rFonts w:ascii="Times New Roman" w:hAnsi="Times New Roman"/>
          <w:b/>
        </w:rPr>
      </w:pPr>
    </w:p>
    <w:p w:rsidR="0096611B" w:rsidRPr="00F432A8" w:rsidRDefault="0096611B" w:rsidP="0096611B">
      <w:pPr>
        <w:rPr>
          <w:rFonts w:ascii="Times New Roman" w:hAnsi="Times New Roman"/>
          <w:b/>
        </w:rPr>
      </w:pPr>
      <w:r w:rsidRPr="00F432A8">
        <w:rPr>
          <w:rFonts w:ascii="Times New Roman" w:hAnsi="Times New Roman"/>
          <w:b/>
        </w:rPr>
        <w:t>Az adathordozhatósághoz való jog</w:t>
      </w:r>
    </w:p>
    <w:p w:rsidR="0096611B" w:rsidRPr="00F432A8" w:rsidRDefault="0096611B" w:rsidP="0096611B">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rPr>
      </w:pPr>
      <w:r w:rsidRPr="00F432A8">
        <w:rPr>
          <w:rFonts w:ascii="Times New Roman" w:hAnsi="Times New Roman"/>
          <w:b/>
        </w:rPr>
        <w:t>Hozzájárulás visszavonásának joga</w:t>
      </w:r>
    </w:p>
    <w:p w:rsidR="0096611B" w:rsidRPr="00F432A8" w:rsidRDefault="0096611B" w:rsidP="0096611B">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96611B" w:rsidRPr="00F432A8" w:rsidRDefault="0096611B" w:rsidP="0096611B">
      <w:pPr>
        <w:rPr>
          <w:rFonts w:ascii="Times New Roman" w:hAnsi="Times New Roman"/>
          <w:b/>
        </w:rPr>
      </w:pPr>
    </w:p>
    <w:p w:rsidR="0096611B" w:rsidRPr="00F432A8" w:rsidRDefault="0096611B" w:rsidP="0096611B">
      <w:pPr>
        <w:rPr>
          <w:rFonts w:ascii="Times New Roman" w:hAnsi="Times New Roman"/>
          <w:b/>
          <w:i/>
        </w:rPr>
      </w:pPr>
      <w:r w:rsidRPr="00F432A8">
        <w:rPr>
          <w:rFonts w:ascii="Times New Roman" w:hAnsi="Times New Roman"/>
          <w:b/>
        </w:rPr>
        <w:t>V. Jogorvoslati tájékoztatás</w:t>
      </w:r>
    </w:p>
    <w:p w:rsidR="0096611B" w:rsidRPr="00F432A8" w:rsidRDefault="0096611B" w:rsidP="0096611B">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96611B" w:rsidRPr="00F432A8" w:rsidRDefault="0096611B" w:rsidP="0096611B">
      <w:pPr>
        <w:rPr>
          <w:rFonts w:ascii="Times New Roman" w:hAnsi="Times New Roman"/>
          <w:b/>
          <w:i/>
        </w:rPr>
      </w:pPr>
      <w:r w:rsidRPr="00F432A8">
        <w:rPr>
          <w:rFonts w:ascii="Times New Roman" w:hAnsi="Times New Roman"/>
          <w:b/>
        </w:rPr>
        <w:t>VI. Záró rendelkezés</w:t>
      </w:r>
    </w:p>
    <w:p w:rsidR="0096611B" w:rsidRPr="00F432A8" w:rsidRDefault="0096611B" w:rsidP="0096611B">
      <w:pPr>
        <w:rPr>
          <w:rFonts w:ascii="Times New Roman" w:hAnsi="Times New Roman"/>
        </w:rPr>
      </w:pPr>
      <w:r w:rsidRPr="00F432A8">
        <w:rPr>
          <w:rFonts w:ascii="Times New Roman" w:hAnsi="Times New Roman"/>
        </w:rPr>
        <w:lastRenderedPageBreak/>
        <w:t>A személyes adatai kezeléséhez kapcsolódó bármilyen kérdés felmerülése esetén forduljon az Intézményhez és az Ön jogait szem előtt tartva segítünk a kérdései megválaszolásában, jogai érvényesülésében.</w:t>
      </w:r>
    </w:p>
    <w:p w:rsidR="0096611B" w:rsidRPr="00F432A8" w:rsidRDefault="0096611B" w:rsidP="0096611B">
      <w:pPr>
        <w:rPr>
          <w:rFonts w:ascii="Times New Roman" w:hAnsi="Times New Roman"/>
        </w:rPr>
      </w:pPr>
    </w:p>
    <w:p w:rsidR="0096611B" w:rsidRPr="00F432A8" w:rsidRDefault="0096611B" w:rsidP="0096611B">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6611B" w:rsidRPr="00F432A8" w:rsidRDefault="0096611B" w:rsidP="0096611B">
      <w:pPr>
        <w:rPr>
          <w:rFonts w:ascii="Times New Roman" w:hAnsi="Times New Roman"/>
        </w:rPr>
      </w:pPr>
      <w:r w:rsidRPr="00F432A8">
        <w:rPr>
          <w:rFonts w:ascii="Times New Roman" w:hAnsi="Times New Roman"/>
        </w:rPr>
        <w:t xml:space="preserve">A </w:t>
      </w:r>
      <w:r>
        <w:rPr>
          <w:rFonts w:ascii="Times New Roman" w:hAnsi="Times New Roman"/>
        </w:rPr>
        <w:t xml:space="preserve">tájékoztató érvényes 2019. 08. 01. </w:t>
      </w:r>
      <w:proofErr w:type="spellStart"/>
      <w:r>
        <w:rPr>
          <w:rFonts w:ascii="Times New Roman" w:hAnsi="Times New Roman"/>
        </w:rPr>
        <w:t>naptól</w:t>
      </w:r>
      <w:r w:rsidRPr="00F432A8">
        <w:rPr>
          <w:rFonts w:ascii="Times New Roman" w:hAnsi="Times New Roman"/>
        </w:rPr>
        <w:t>kezdődően</w:t>
      </w:r>
      <w:proofErr w:type="spellEnd"/>
      <w:r w:rsidRPr="00F432A8">
        <w:rPr>
          <w:rFonts w:ascii="Times New Roman" w:hAnsi="Times New Roman"/>
        </w:rPr>
        <w:t>.</w:t>
      </w:r>
    </w:p>
    <w:p w:rsidR="00980AF0" w:rsidRPr="0096611B" w:rsidRDefault="00980AF0" w:rsidP="0096611B">
      <w:bookmarkStart w:id="1" w:name="_GoBack"/>
      <w:bookmarkEnd w:id="1"/>
    </w:p>
    <w:sectPr w:rsidR="00980AF0" w:rsidRPr="00966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3F1745"/>
    <w:rsid w:val="004A39ED"/>
    <w:rsid w:val="004A739F"/>
    <w:rsid w:val="0053686D"/>
    <w:rsid w:val="00596BDB"/>
    <w:rsid w:val="007411A6"/>
    <w:rsid w:val="0096611B"/>
    <w:rsid w:val="00980AF0"/>
    <w:rsid w:val="00B37A11"/>
    <w:rsid w:val="00CE759D"/>
    <w:rsid w:val="00D7541C"/>
    <w:rsid w:val="00D926F8"/>
    <w:rsid w:val="00E77ECF"/>
    <w:rsid w:val="00F06D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5717</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2019-09-17T17:18:00Z</dcterms:created>
  <dcterms:modified xsi:type="dcterms:W3CDTF">2019-09-17T17:18:00Z</dcterms:modified>
</cp:coreProperties>
</file>